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A1C49D" w14:textId="77777777" w:rsidR="003310A9" w:rsidRPr="00CE7EB7" w:rsidRDefault="00235995" w:rsidP="0075453E">
      <w:pPr>
        <w:spacing w:line="480" w:lineRule="auto"/>
        <w:jc w:val="center"/>
        <w:rPr>
          <w:rFonts w:ascii="Aptos" w:hAnsi="Aptos"/>
        </w:rPr>
      </w:pPr>
      <w:r w:rsidRPr="00CE7EB7">
        <w:rPr>
          <w:rFonts w:ascii="Aptos" w:hAnsi="Aptos"/>
          <w:b/>
        </w:rPr>
        <w:t>Supplementary Information</w:t>
      </w:r>
    </w:p>
    <w:p w14:paraId="28008DAF" w14:textId="77777777" w:rsidR="003310A9" w:rsidRPr="00CE7EB7" w:rsidRDefault="003310A9">
      <w:pPr>
        <w:spacing w:line="480" w:lineRule="auto"/>
        <w:rPr>
          <w:rFonts w:ascii="Aptos" w:hAnsi="Aptos"/>
        </w:rPr>
      </w:pPr>
    </w:p>
    <w:p w14:paraId="38483377" w14:textId="77777777" w:rsidR="003310A9" w:rsidRPr="00A82CC9" w:rsidRDefault="00235995" w:rsidP="0075453E">
      <w:pPr>
        <w:spacing w:line="480" w:lineRule="auto"/>
        <w:jc w:val="center"/>
        <w:rPr>
          <w:rFonts w:ascii="Aptos" w:hAnsi="Aptos"/>
          <w:b/>
          <w:bCs/>
          <w:sz w:val="28"/>
          <w:szCs w:val="36"/>
        </w:rPr>
      </w:pPr>
      <w:r w:rsidRPr="00A82CC9">
        <w:rPr>
          <w:rFonts w:ascii="Aptos" w:hAnsi="Aptos"/>
          <w:b/>
          <w:bCs/>
          <w:sz w:val="28"/>
          <w:szCs w:val="36"/>
        </w:rPr>
        <w:t>Gut microbial resource use can be low-dimensional yet functionally complex</w:t>
      </w:r>
    </w:p>
    <w:p w14:paraId="44EB1B3F" w14:textId="77777777" w:rsidR="003310A9" w:rsidRPr="00CE7EB7" w:rsidRDefault="00235995" w:rsidP="0075453E">
      <w:pPr>
        <w:spacing w:line="480" w:lineRule="auto"/>
        <w:jc w:val="center"/>
        <w:rPr>
          <w:rFonts w:ascii="Aptos" w:hAnsi="Aptos"/>
        </w:rPr>
      </w:pPr>
      <w:r w:rsidRPr="00CE7EB7">
        <w:rPr>
          <w:rFonts w:ascii="Aptos" w:hAnsi="Aptos"/>
        </w:rPr>
        <w:t>Eric Bonabeau</w:t>
      </w:r>
    </w:p>
    <w:p w14:paraId="0A811083" w14:textId="77777777" w:rsidR="003310A9" w:rsidRPr="00CE7EB7" w:rsidRDefault="00235995" w:rsidP="0075453E">
      <w:pPr>
        <w:spacing w:line="480" w:lineRule="auto"/>
        <w:jc w:val="center"/>
        <w:rPr>
          <w:rFonts w:ascii="Aptos" w:hAnsi="Aptos"/>
        </w:rPr>
      </w:pPr>
      <w:r w:rsidRPr="00CE7EB7">
        <w:rPr>
          <w:rFonts w:ascii="Aptos" w:hAnsi="Aptos"/>
        </w:rPr>
        <w:t>School of Complex Adaptive Systems, Arizona State University, Tempe, Arizona, USA</w:t>
      </w:r>
    </w:p>
    <w:p w14:paraId="14633627" w14:textId="77777777" w:rsidR="003310A9" w:rsidRPr="00CE7EB7" w:rsidRDefault="00235995" w:rsidP="0075453E">
      <w:pPr>
        <w:spacing w:line="480" w:lineRule="auto"/>
        <w:jc w:val="center"/>
        <w:rPr>
          <w:rFonts w:ascii="Aptos" w:hAnsi="Aptos"/>
        </w:rPr>
      </w:pPr>
      <w:r w:rsidRPr="00CE7EB7">
        <w:rPr>
          <w:rFonts w:ascii="Aptos" w:hAnsi="Aptos"/>
        </w:rPr>
        <w:t>Address correspondence to Eric Bonabeau, ebonabea@asu.edu.</w:t>
      </w:r>
    </w:p>
    <w:p w14:paraId="3D21315D" w14:textId="77777777" w:rsidR="003310A9" w:rsidRPr="00CE7EB7" w:rsidRDefault="003310A9">
      <w:pPr>
        <w:spacing w:line="480" w:lineRule="auto"/>
        <w:rPr>
          <w:rFonts w:ascii="Aptos" w:hAnsi="Aptos"/>
        </w:rPr>
      </w:pPr>
    </w:p>
    <w:p w14:paraId="3D6F834B" w14:textId="77777777" w:rsidR="003310A9" w:rsidRPr="00CE7EB7" w:rsidRDefault="00235995">
      <w:pPr>
        <w:spacing w:line="480" w:lineRule="auto"/>
        <w:rPr>
          <w:rFonts w:ascii="Aptos" w:hAnsi="Aptos"/>
        </w:rPr>
      </w:pPr>
      <w:r w:rsidRPr="00CE7EB7">
        <w:rPr>
          <w:rFonts w:ascii="Aptos" w:hAnsi="Aptos"/>
          <w:b/>
          <w:bCs/>
        </w:rPr>
        <w:t>Contents</w:t>
      </w:r>
    </w:p>
    <w:p w14:paraId="7A0CAB29" w14:textId="77777777" w:rsidR="003310A9" w:rsidRPr="00CE7EB7" w:rsidRDefault="00235995">
      <w:pPr>
        <w:spacing w:line="480" w:lineRule="auto"/>
        <w:rPr>
          <w:rFonts w:ascii="Aptos" w:hAnsi="Aptos"/>
        </w:rPr>
      </w:pPr>
      <w:r w:rsidRPr="00CE7EB7">
        <w:rPr>
          <w:rFonts w:ascii="Aptos" w:hAnsi="Aptos"/>
        </w:rPr>
        <w:t>Supplementary Methods include the consumer-resource derivation and validity conditions, trait-factorized rank bound, absolute-scale identification result, numerical verification, cohort benchmark, effective-niche comparison, sample-size calibration, hCom2* reproduction and low-rank/support-preserving analyses, Ho support validation, and reproducibility and claim-boundary details. Supplementary Tables 1–11 and Supplementary Figs. 1–3 provide the corresponding numerical results and diagnostics.</w:t>
      </w:r>
    </w:p>
    <w:p w14:paraId="530F38B5" w14:textId="77777777" w:rsidR="003310A9" w:rsidRPr="00CE7EB7" w:rsidRDefault="00235995">
      <w:pPr>
        <w:pStyle w:val="Heading1"/>
        <w:spacing w:before="0"/>
        <w:rPr>
          <w:rFonts w:ascii="Aptos" w:hAnsi="Aptos"/>
        </w:rPr>
      </w:pPr>
      <w:r w:rsidRPr="00CE7EB7">
        <w:rPr>
          <w:rFonts w:ascii="Aptos" w:hAnsi="Aptos"/>
          <w:sz w:val="21"/>
        </w:rPr>
        <w:t>Supplementary Methods</w:t>
      </w:r>
    </w:p>
    <w:p w14:paraId="09FF587D" w14:textId="77777777" w:rsidR="0070331D" w:rsidRPr="00CE7EB7" w:rsidRDefault="006D3DA6">
      <w:pPr>
        <w:pStyle w:val="Heading2"/>
        <w:spacing w:before="0"/>
        <w:rPr>
          <w:rFonts w:ascii="Aptos" w:hAnsi="Aptos"/>
          <w:color w:val="000000" w:themeColor="text1"/>
        </w:rPr>
      </w:pPr>
      <w:r w:rsidRPr="00CE7EB7">
        <w:rPr>
          <w:rFonts w:ascii="Aptos" w:hAnsi="Aptos"/>
          <w:color w:val="000000" w:themeColor="text1"/>
          <w:sz w:val="21"/>
        </w:rPr>
        <w:t>S1.1 Dynamics and assumptions</w:t>
      </w:r>
    </w:p>
    <w:p w14:paraId="23F279FF"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 xml:space="preserve">Consider consumers indexed by </w:t>
      </w:r>
      <m:oMath>
        <m:r>
          <w:rPr>
            <w:rFonts w:ascii="Cambria Math" w:hAnsi="Cambria Math"/>
            <w:color w:val="000000" w:themeColor="text1"/>
          </w:rPr>
          <m:t>i</m:t>
        </m:r>
      </m:oMath>
      <w:r w:rsidRPr="00CE7EB7">
        <w:rPr>
          <w:rFonts w:ascii="Aptos" w:hAnsi="Aptos"/>
          <w:color w:val="000000" w:themeColor="text1"/>
        </w:rPr>
        <w:t xml:space="preserve"> and resources indexed by </w:t>
      </w:r>
      <m:oMath>
        <m:r>
          <w:rPr>
            <w:rFonts w:ascii="Cambria Math" w:hAnsi="Cambria Math"/>
            <w:color w:val="000000" w:themeColor="text1"/>
          </w:rPr>
          <m:t>α</m:t>
        </m:r>
      </m:oMath>
      <w:r w:rsidRPr="00CE7EB7">
        <w:rPr>
          <w:rFonts w:ascii="Aptos" w:hAnsi="Aptos"/>
          <w:color w:val="000000" w:themeColor="text1"/>
        </w:rPr>
        <w:t>. The restricted consumer–resource model follows the competition-based frameworks of MacArthur and Chesson</w:t>
      </w:r>
      <w:r>
        <w:rPr>
          <w:rFonts w:ascii="Aptos" w:hAnsi="Aptos"/>
          <w:color w:val="000000" w:themeColor="text1"/>
          <w:vertAlign w:val="superscript"/>
        </w:rPr>
        <w:t>1, 2</w:t>
      </w:r>
      <w:r>
        <w:rPr>
          <w:rFonts w:ascii="Aptos" w:hAnsi="Aptos"/>
          <w:color w:val="000000" w:themeColor="text1"/>
        </w:rPr>
        <w:t xml:space="preserve"> and assumes logistic resource renewal, bilinear consumption, linear conversion of uptake into consumer growth, and no secretion or explicit cross-feeding.</w:t>
      </w:r>
    </w:p>
    <w:p w14:paraId="283EE329" w14:textId="77777777" w:rsidR="0070331D" w:rsidRPr="00CE7EB7" w:rsidRDefault="002B22C3">
      <w:pPr>
        <w:spacing w:line="480" w:lineRule="auto"/>
        <w:rPr>
          <w:rFonts w:ascii="Aptos" w:hAnsi="Aptos"/>
          <w:color w:val="000000" w:themeColor="text1"/>
        </w:rPr>
      </w:pP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num>
          <m:den>
            <m:r>
              <w:rPr>
                <w:rFonts w:ascii="Cambria Math" w:hAnsi="Cambria Math"/>
                <w:color w:val="000000" w:themeColor="text1"/>
              </w:rPr>
              <m:t>dt</m:t>
            </m:r>
          </m:den>
        </m:f>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d>
          <m:dPr>
            <m:ctrlPr>
              <w:rPr>
                <w:rFonts w:ascii="Cambria Math" w:hAnsi="Cambria Math"/>
                <w:color w:val="000000" w:themeColor="text1"/>
              </w:rPr>
            </m:ctrlPr>
          </m:dPr>
          <m:e>
            <m:nary>
              <m:naryPr>
                <m:chr m:val="∑"/>
                <m:limLoc m:val="undOvr"/>
                <m:supHide m:val="1"/>
                <m:ctrlPr>
                  <w:rPr>
                    <w:rFonts w:ascii="Cambria Math" w:hAnsi="Cambria Math"/>
                    <w:color w:val="000000" w:themeColor="text1"/>
                  </w:rPr>
                </m:ctrlPr>
              </m:naryPr>
              <m:sub>
                <m:r>
                  <w:rPr>
                    <w:rFonts w:ascii="Cambria Math" w:hAnsi="Cambria Math"/>
                    <w:color w:val="000000" w:themeColor="text1"/>
                  </w:rPr>
                  <m:t>α</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α</m:t>
                    </m:r>
                  </m:sub>
                </m:sSub>
              </m:e>
            </m:nary>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iα</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e>
        </m:d>
      </m:oMath>
      <w:r w:rsidR="006D3DA6" w:rsidRPr="00CE7EB7">
        <w:rPr>
          <w:rFonts w:ascii="Aptos" w:hAnsi="Aptos"/>
          <w:color w:val="000000" w:themeColor="text1"/>
        </w:rPr>
        <w:t xml:space="preserve">   (S1)</w:t>
      </w:r>
    </w:p>
    <w:p w14:paraId="0F9D663A" w14:textId="77777777" w:rsidR="00B81424" w:rsidRPr="00CE7EB7" w:rsidRDefault="00E54E0B">
      <w:pPr>
        <w:spacing w:line="480" w:lineRule="auto"/>
        <w:rPr>
          <w:rFonts w:ascii="Aptos" w:hAnsi="Aptos"/>
          <w:color w:val="000000" w:themeColor="text1"/>
        </w:rPr>
      </w:pPr>
      <w:r w:rsidRPr="00CE7EB7">
        <w:rPr>
          <w:rFonts w:ascii="Aptos" w:hAnsi="Aptos"/>
        </w:rPr>
        <w:t xml:space="preserve">For consumer </w:t>
      </w:r>
      <m:oMath>
        <m:r>
          <w:rPr>
            <w:rFonts w:ascii="Cambria Math" w:hAnsi="Cambria Math"/>
          </w:rPr>
          <m:t>i</m:t>
        </m:r>
      </m:oMath>
      <w:r w:rsidRPr="00CE7EB7">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t</m:t>
            </m:r>
          </m:e>
        </m:d>
      </m:oMath>
      <w:r w:rsidRPr="00CE7EB7">
        <w:rPr>
          <w:rFonts w:ascii="Aptos" w:hAnsi="Aptos"/>
        </w:rPr>
        <w:t xml:space="preserve"> is absolute abundance, </w:t>
      </w:r>
      <m:oMath>
        <m:r>
          <w:rPr>
            <w:rFonts w:ascii="Cambria Math" w:hAnsi="Cambria Math"/>
          </w:rPr>
          <m:t>t</m:t>
        </m:r>
      </m:oMath>
      <w:r w:rsidRPr="00CE7EB7">
        <w:rPr>
          <w:rFonts w:ascii="Aptos" w:hAnsi="Aptos"/>
        </w:rPr>
        <w:t xml:space="preserve"> is time, and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CE7EB7">
        <w:rPr>
          <w:rFonts w:ascii="Aptos" w:hAnsi="Aptos"/>
        </w:rPr>
        <w:t xml:space="preserve"> is the per-capita loss or maintenance rate. For resource </w:t>
      </w:r>
      <m:oMath>
        <m:r>
          <w:rPr>
            <w:rFonts w:ascii="Cambria Math" w:hAnsi="Cambria Math"/>
          </w:rPr>
          <m:t>α</m:t>
        </m:r>
      </m:oMath>
      <w:r w:rsidRPr="00CE7EB7">
        <w:rPr>
          <w:rFonts w:ascii="Aptos" w:hAnsi="Aptos"/>
        </w:rPr>
        <w:t xml:space="preserve">, </w:t>
      </w:r>
      <m:oMath>
        <m:sSub>
          <m:sSubPr>
            <m:ctrlPr>
              <w:rPr>
                <w:rFonts w:ascii="Cambria Math" w:hAnsi="Cambria Math"/>
              </w:rPr>
            </m:ctrlPr>
          </m:sSubPr>
          <m:e>
            <m:r>
              <w:rPr>
                <w:rFonts w:ascii="Cambria Math" w:hAnsi="Cambria Math"/>
              </w:rPr>
              <m:t>R</m:t>
            </m:r>
          </m:e>
          <m:sub>
            <m:r>
              <w:rPr>
                <w:rFonts w:ascii="Cambria Math" w:hAnsi="Cambria Math"/>
              </w:rPr>
              <m:t>α</m:t>
            </m:r>
          </m:sub>
        </m:sSub>
        <m:d>
          <m:dPr>
            <m:ctrlPr>
              <w:rPr>
                <w:rFonts w:ascii="Cambria Math" w:hAnsi="Cambria Math"/>
              </w:rPr>
            </m:ctrlPr>
          </m:dPr>
          <m:e>
            <m:r>
              <w:rPr>
                <w:rFonts w:ascii="Cambria Math" w:hAnsi="Cambria Math"/>
              </w:rPr>
              <m:t>t</m:t>
            </m:r>
          </m:e>
        </m:d>
      </m:oMath>
      <w:r w:rsidRPr="00CE7EB7">
        <w:rPr>
          <w:rFonts w:ascii="Aptos" w:hAnsi="Aptos"/>
        </w:rPr>
        <w:t xml:space="preserve"> is its concentration, </w:t>
      </w:r>
      <m:oMath>
        <m:sSub>
          <m:sSubPr>
            <m:ctrlPr>
              <w:rPr>
                <w:rFonts w:ascii="Cambria Math" w:hAnsi="Cambria Math"/>
              </w:rPr>
            </m:ctrlPr>
          </m:sSubPr>
          <m:e>
            <m:r>
              <w:rPr>
                <w:rFonts w:ascii="Cambria Math" w:hAnsi="Cambria Math"/>
              </w:rPr>
              <m:t>c</m:t>
            </m:r>
          </m:e>
          <m:sub>
            <m:r>
              <w:rPr>
                <w:rFonts w:ascii="Cambria Math" w:hAnsi="Cambria Math"/>
              </w:rPr>
              <m:t>iα</m:t>
            </m:r>
          </m:sub>
        </m:sSub>
        <m:r>
          <m:rPr>
            <m:sty m:val="p"/>
          </m:rPr>
          <w:rPr>
            <w:rFonts w:ascii="Cambria Math" w:hAnsi="Cambria Math"/>
          </w:rPr>
          <m:t>≥</m:t>
        </m:r>
        <m:r>
          <w:rPr>
            <w:rFonts w:ascii="Cambria Math" w:hAnsi="Cambria Math"/>
          </w:rPr>
          <m:t>0</m:t>
        </m:r>
      </m:oMath>
      <w:r w:rsidRPr="00CE7EB7">
        <w:rPr>
          <w:rFonts w:ascii="Aptos" w:hAnsi="Aptos"/>
        </w:rPr>
        <w:t xml:space="preserve"> is the uptake coefficient for consumer </w:t>
      </w:r>
      <m:oMath>
        <m:r>
          <w:rPr>
            <w:rFonts w:ascii="Cambria Math" w:hAnsi="Cambria Math"/>
          </w:rPr>
          <m:t>i</m:t>
        </m:r>
      </m:oMath>
      <w:r w:rsidRPr="00CE7EB7">
        <w:rPr>
          <w:rFonts w:ascii="Aptos" w:hAnsi="Aptos"/>
        </w:rPr>
        <w:t xml:space="preserve">, and </w:t>
      </w:r>
      <m:oMath>
        <m:sSub>
          <m:sSubPr>
            <m:ctrlPr>
              <w:rPr>
                <w:rFonts w:ascii="Cambria Math" w:hAnsi="Cambria Math"/>
              </w:rPr>
            </m:ctrlPr>
          </m:sSubPr>
          <m:e>
            <m:r>
              <w:rPr>
                <w:rFonts w:ascii="Cambria Math" w:hAnsi="Cambria Math"/>
              </w:rPr>
              <m:t>w</m:t>
            </m:r>
          </m:e>
          <m:sub>
            <m:r>
              <w:rPr>
                <w:rFonts w:ascii="Cambria Math" w:hAnsi="Cambria Math"/>
              </w:rPr>
              <m:t>α</m:t>
            </m:r>
          </m:sub>
        </m:sSub>
        <m:r>
          <m:rPr>
            <m:sty m:val="p"/>
          </m:rPr>
          <w:rPr>
            <w:rFonts w:ascii="Cambria Math" w:hAnsi="Cambria Math"/>
          </w:rPr>
          <m:t>&gt;</m:t>
        </m:r>
        <m:r>
          <w:rPr>
            <w:rFonts w:ascii="Cambria Math" w:hAnsi="Cambria Math"/>
          </w:rPr>
          <m:t>0</m:t>
        </m:r>
      </m:oMath>
      <w:r w:rsidRPr="00CE7EB7">
        <w:rPr>
          <w:rFonts w:ascii="Aptos" w:hAnsi="Aptos"/>
        </w:rPr>
        <w:t xml:space="preserve"> converts uptake of that resource to growth. The index </w:t>
      </w:r>
      <m:oMath>
        <m:r>
          <w:rPr>
            <w:rFonts w:ascii="Cambria Math" w:hAnsi="Cambria Math"/>
          </w:rPr>
          <m:t>α</m:t>
        </m:r>
      </m:oMath>
      <w:r w:rsidRPr="00CE7EB7">
        <w:rPr>
          <w:rFonts w:ascii="Aptos" w:hAnsi="Aptos"/>
        </w:rPr>
        <w:t xml:space="preserve"> is summed over resources. This is a restricted growth law without secretion, cross-feeding, or consumer-dependent conversion weights.</w:t>
      </w:r>
    </w:p>
    <w:p w14:paraId="246779BE" w14:textId="77777777" w:rsidR="0070331D" w:rsidRPr="00CE7EB7" w:rsidRDefault="002B22C3">
      <w:pPr>
        <w:spacing w:line="480" w:lineRule="auto"/>
        <w:rPr>
          <w:rFonts w:ascii="Aptos" w:hAnsi="Aptos"/>
          <w:color w:val="000000" w:themeColor="text1"/>
        </w:rPr>
      </w:pP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num>
          <m:den>
            <m:r>
              <w:rPr>
                <w:rFonts w:ascii="Cambria Math" w:hAnsi="Cambria Math"/>
                <w:color w:val="000000" w:themeColor="text1"/>
              </w:rPr>
              <m:t>dt</m:t>
            </m:r>
          </m:den>
        </m:f>
        <m:r>
          <m:rPr>
            <m:sty m:val="p"/>
          </m:rPr>
          <w:rPr>
            <w:rFonts w:ascii="Cambria Math" w:hAnsi="Cambria Math"/>
            <w:color w:val="000000" w:themeColor="text1"/>
          </w:rPr>
          <m:t>=</m:t>
        </m:r>
        <m:r>
          <w:rPr>
            <w:rFonts w:ascii="Cambria Math" w:hAnsi="Cambria Math"/>
            <w:color w:val="000000" w:themeColor="text1"/>
          </w:rPr>
          <m:t>ε</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e>
            </m:nary>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e>
        </m:d>
      </m:oMath>
      <w:r w:rsidR="006D3DA6" w:rsidRPr="00CE7EB7">
        <w:rPr>
          <w:rFonts w:ascii="Aptos" w:hAnsi="Aptos"/>
          <w:color w:val="000000" w:themeColor="text1"/>
        </w:rPr>
        <w:t xml:space="preserve">   (S2)</w:t>
      </w:r>
    </w:p>
    <w:p w14:paraId="30B62A1E" w14:textId="77777777" w:rsidR="00B81424" w:rsidRPr="00CE7EB7" w:rsidRDefault="00E54E0B">
      <w:pPr>
        <w:spacing w:line="480" w:lineRule="auto"/>
        <w:rPr>
          <w:rFonts w:ascii="Aptos" w:hAnsi="Aptos"/>
          <w:color w:val="000000" w:themeColor="text1"/>
        </w:rPr>
      </w:pPr>
      <w:r w:rsidRPr="00CE7EB7">
        <w:rPr>
          <w:rFonts w:ascii="Aptos" w:hAnsi="Aptos"/>
        </w:rPr>
        <w:t xml:space="preserve">The parameter </w:t>
      </w:r>
      <m:oMath>
        <m:r>
          <w:rPr>
            <w:rFonts w:ascii="Cambria Math" w:hAnsi="Cambria Math"/>
          </w:rPr>
          <m:t>ε</m:t>
        </m:r>
        <m:r>
          <m:rPr>
            <m:sty m:val="p"/>
          </m:rPr>
          <w:rPr>
            <w:rFonts w:ascii="Cambria Math" w:hAnsi="Cambria Math"/>
          </w:rPr>
          <m:t>&gt;</m:t>
        </m:r>
        <m:r>
          <w:rPr>
            <w:rFonts w:ascii="Cambria Math" w:hAnsi="Cambria Math"/>
          </w:rPr>
          <m:t>0</m:t>
        </m:r>
      </m:oMath>
      <w:r w:rsidRPr="00CE7EB7">
        <w:rPr>
          <w:rFonts w:ascii="Aptos" w:hAnsi="Aptos"/>
        </w:rPr>
        <w:t xml:space="preserve"> multiplies resource dynamics and controls their separation from consumer timescales;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&gt;</m:t>
        </m:r>
        <m:r>
          <w:rPr>
            <w:rFonts w:ascii="Cambria Math" w:hAnsi="Cambria Math"/>
          </w:rPr>
          <m:t>0</m:t>
        </m:r>
      </m:oMath>
      <w:r w:rsidRPr="00CE7EB7">
        <w:rPr>
          <w:rFonts w:ascii="Aptos" w:hAnsi="Aptos"/>
        </w:rPr>
        <w:t xml:space="preserve"> is the renewal parameter and </w:t>
      </w:r>
      <m:oMath>
        <m:sSub>
          <m:sSubPr>
            <m:ctrlPr>
              <w:rPr>
                <w:rFonts w:ascii="Cambria Math" w:hAnsi="Cambria Math"/>
              </w:rPr>
            </m:ctrlPr>
          </m:sSubPr>
          <m:e>
            <m:r>
              <w:rPr>
                <w:rFonts w:ascii="Cambria Math" w:hAnsi="Cambria Math"/>
              </w:rPr>
              <m:t>q</m:t>
            </m:r>
          </m:e>
          <m:sub>
            <m:r>
              <w:rPr>
                <w:rFonts w:ascii="Cambria Math" w:hAnsi="Cambria Math"/>
              </w:rPr>
              <m:t>α</m:t>
            </m:r>
          </m:sub>
        </m:sSub>
        <m:r>
          <m:rPr>
            <m:sty m:val="p"/>
          </m:rPr>
          <w:rPr>
            <w:rFonts w:ascii="Cambria Math" w:hAnsi="Cambria Math"/>
          </w:rPr>
          <m:t>&gt;</m:t>
        </m:r>
        <m:r>
          <w:rPr>
            <w:rFonts w:ascii="Cambria Math" w:hAnsi="Cambria Math"/>
          </w:rPr>
          <m:t>0</m:t>
        </m:r>
      </m:oMath>
      <w:r w:rsidRPr="00CE7EB7">
        <w:rPr>
          <w:rFonts w:ascii="Aptos" w:hAnsi="Aptos"/>
        </w:rPr>
        <w:t xml:space="preserve"> is resource self-limitation. The sum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jα</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rsidRPr="00CE7EB7">
        <w:rPr>
          <w:rFonts w:ascii="Aptos" w:hAnsi="Aptos"/>
        </w:rPr>
        <w:t xml:space="preserve"> is the total depletion pressure exerted by all consumers </w:t>
      </w:r>
      <m:oMath>
        <m:r>
          <w:rPr>
            <w:rFonts w:ascii="Cambria Math" w:hAnsi="Cambria Math"/>
          </w:rPr>
          <m:t>j</m:t>
        </m:r>
      </m:oMath>
      <w:r w:rsidRPr="00CE7EB7">
        <w:rPr>
          <w:rFonts w:ascii="Aptos" w:hAnsi="Aptos"/>
        </w:rPr>
        <w:t xml:space="preserve"> on resource </w:t>
      </w:r>
      <m:oMath>
        <m:r>
          <w:rPr>
            <w:rFonts w:ascii="Cambria Math" w:hAnsi="Cambria Math"/>
          </w:rPr>
          <m:t>α</m:t>
        </m:r>
      </m:oMath>
      <w:r w:rsidRPr="00CE7EB7">
        <w:rPr>
          <w:rFonts w:ascii="Aptos" w:hAnsi="Aptos"/>
        </w:rPr>
        <w:t xml:space="preserve">. The factor </w:t>
      </w:r>
      <m:oMath>
        <m:sSub>
          <m:sSubPr>
            <m:ctrlPr>
              <w:rPr>
                <w:rFonts w:ascii="Cambria Math" w:hAnsi="Cambria Math"/>
              </w:rPr>
            </m:ctrlPr>
          </m:sSubPr>
          <m:e>
            <m:r>
              <w:rPr>
                <w:rFonts w:ascii="Cambria Math" w:hAnsi="Cambria Math"/>
              </w:rPr>
              <m:t>R</m:t>
            </m:r>
          </m:e>
          <m:sub>
            <m:r>
              <w:rPr>
                <w:rFonts w:ascii="Cambria Math" w:hAnsi="Cambria Math"/>
              </w:rPr>
              <m:t>α</m:t>
            </m:r>
          </m:sub>
        </m:sSub>
      </m:oMath>
      <w:r w:rsidRPr="00CE7EB7">
        <w:rPr>
          <w:rFonts w:ascii="Aptos" w:hAnsi="Aptos"/>
        </w:rPr>
        <w:t xml:space="preserve"> makes renewal density dependent, so the positive resource equilibrium can disappear under sufficient consumption pressure.</w:t>
      </w:r>
    </w:p>
    <w:p w14:paraId="13B1EBCE" w14:textId="77777777" w:rsidR="0070331D" w:rsidRPr="00CE7EB7" w:rsidRDefault="006D3DA6">
      <w:pPr>
        <w:pStyle w:val="Heading2"/>
        <w:spacing w:before="0"/>
        <w:rPr>
          <w:rFonts w:ascii="Aptos" w:hAnsi="Aptos"/>
          <w:color w:val="000000" w:themeColor="text1"/>
        </w:rPr>
      </w:pPr>
      <w:r w:rsidRPr="00CE7EB7">
        <w:rPr>
          <w:rFonts w:ascii="Aptos" w:hAnsi="Aptos"/>
          <w:color w:val="000000" w:themeColor="text1"/>
          <w:sz w:val="21"/>
        </w:rPr>
        <w:t>S1.2 Positive quasi-steady branch</w:t>
      </w:r>
    </w:p>
    <w:p w14:paraId="2BAFEA6B" w14:textId="77777777" w:rsidR="0070331D" w:rsidRPr="00CE7EB7" w:rsidRDefault="002B22C3">
      <w:pPr>
        <w:spacing w:line="480" w:lineRule="auto"/>
        <w:rPr>
          <w:rFonts w:ascii="Aptos" w:hAnsi="Aptos"/>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α</m:t>
            </m:r>
          </m:sub>
          <m:sup>
            <m:r>
              <m:rPr>
                <m:sty m:val="p"/>
              </m:rPr>
              <w:rPr>
                <w:rFonts w:ascii="Cambria Math" w:hAnsi="Cambria Math"/>
                <w:color w:val="000000" w:themeColor="text1"/>
              </w:rPr>
              <m:t>*</m:t>
            </m:r>
          </m:sup>
        </m:sSubSup>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e>
            </m:nary>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oMath>
      <w:r w:rsidR="006D3DA6" w:rsidRPr="00CE7EB7">
        <w:rPr>
          <w:rFonts w:ascii="Aptos" w:hAnsi="Aptos"/>
          <w:color w:val="000000" w:themeColor="text1"/>
        </w:rPr>
        <w:t xml:space="preserve">   (S3)</w:t>
      </w:r>
    </w:p>
    <w:p w14:paraId="16C0E7A3" w14:textId="77777777" w:rsidR="00B81424" w:rsidRPr="00CE7EB7" w:rsidRDefault="00E54E0B">
      <w:pPr>
        <w:spacing w:line="480" w:lineRule="auto"/>
        <w:rPr>
          <w:rFonts w:ascii="Aptos" w:hAnsi="Aptos"/>
          <w:color w:val="000000" w:themeColor="text1"/>
        </w:rPr>
      </w:pPr>
      <w:r w:rsidRPr="00CE7EB7">
        <w:rPr>
          <w:rFonts w:ascii="Aptos" w:hAnsi="Aptos"/>
        </w:rPr>
        <w:t xml:space="preserve">The quantity </w:t>
      </w:r>
      <m:oMath>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rsidRPr="00CE7EB7">
        <w:rPr>
          <w:rFonts w:ascii="Aptos" w:hAnsi="Aptos"/>
        </w:rPr>
        <w:t xml:space="preserve"> is the positive quasi-steady concentration of resource </w:t>
      </w:r>
      <m:oMath>
        <m:r>
          <w:rPr>
            <w:rFonts w:ascii="Cambria Math" w:hAnsi="Cambria Math"/>
          </w:rPr>
          <m:t>α</m:t>
        </m:r>
      </m:oMath>
      <w:r w:rsidRPr="00CE7EB7">
        <w:rPr>
          <w:rFonts w:ascii="Aptos" w:hAnsi="Aptos"/>
        </w:rPr>
        <w:t xml:space="preserve"> for fixed consumer abundances. Its numerator subtracts aggregate uptake demand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jα</m:t>
                </m:r>
              </m:sub>
            </m:sSub>
          </m:e>
        </m:nary>
        <m:sSub>
          <m:sSubPr>
            <m:ctrlPr>
              <w:rPr>
                <w:rFonts w:ascii="Cambria Math" w:hAnsi="Cambria Math"/>
              </w:rPr>
            </m:ctrlPr>
          </m:sSubPr>
          <m:e>
            <m:r>
              <w:rPr>
                <w:rFonts w:ascii="Cambria Math" w:hAnsi="Cambria Math"/>
              </w:rPr>
              <m:t>n</m:t>
            </m:r>
          </m:e>
          <m:sub>
            <m:r>
              <w:rPr>
                <w:rFonts w:ascii="Cambria Math" w:hAnsi="Cambria Math"/>
              </w:rPr>
              <m:t>j</m:t>
            </m:r>
          </m:sub>
        </m:sSub>
      </m:oMath>
      <w:r w:rsidRPr="00CE7EB7">
        <w:rPr>
          <w:rFonts w:ascii="Aptos" w:hAnsi="Aptos"/>
        </w:rPr>
        <w:t xml:space="preserve"> from the resource renewal parameter </w:t>
      </w:r>
      <m:oMath>
        <m:sSub>
          <m:sSubPr>
            <m:ctrlPr>
              <w:rPr>
                <w:rFonts w:ascii="Cambria Math" w:hAnsi="Cambria Math"/>
              </w:rPr>
            </m:ctrlPr>
          </m:sSubPr>
          <m:e>
            <m:r>
              <w:rPr>
                <w:rFonts w:ascii="Cambria Math" w:hAnsi="Cambria Math"/>
              </w:rPr>
              <m:t>r</m:t>
            </m:r>
          </m:e>
          <m:sub>
            <m:r>
              <w:rPr>
                <w:rFonts w:ascii="Cambria Math" w:hAnsi="Cambria Math"/>
              </w:rPr>
              <m:t>α</m:t>
            </m:r>
          </m:sub>
        </m:sSub>
      </m:oMath>
      <w:r w:rsidRPr="00CE7EB7">
        <w:rPr>
          <w:rFonts w:ascii="Aptos" w:hAnsi="Aptos"/>
        </w:rPr>
        <w:t xml:space="preserve">, and its denominator is the self-limitation coefficient </w:t>
      </w:r>
      <m:oMath>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This expression is admissible only when its numerator is strictly positive; it is not the positive-branch solution after depletion.</w:t>
      </w:r>
    </w:p>
    <w:p w14:paraId="018306C0"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Equation S3 applies only when the numerator is positive. Near resource depletion the positive branch approaches its boundary and the reduced description can fail.</w:t>
      </w:r>
    </w:p>
    <w:p w14:paraId="1AA69F83" w14:textId="77777777" w:rsidR="0070331D" w:rsidRPr="00CE7EB7" w:rsidRDefault="002B22C3">
      <w:pPr>
        <w:spacing w:line="480" w:lineRule="auto"/>
        <w:rPr>
          <w:rFonts w:ascii="Aptos" w:hAnsi="Aptos"/>
          <w:color w:val="000000" w:themeColor="text1"/>
        </w:rPr>
      </w:pP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num>
          <m:den>
            <m:r>
              <w:rPr>
                <w:rFonts w:ascii="Cambria Math" w:hAnsi="Cambria Math"/>
                <w:color w:val="000000" w:themeColor="text1"/>
              </w:rPr>
              <m:t>dt</m:t>
            </m:r>
          </m:den>
        </m:f>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ij</m:t>
                    </m:r>
                  </m:sub>
                </m:sSub>
              </m:e>
            </m:nary>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e>
        </m:d>
      </m:oMath>
      <w:r w:rsidR="006D3DA6" w:rsidRPr="00CE7EB7">
        <w:rPr>
          <w:rFonts w:ascii="Aptos" w:hAnsi="Aptos"/>
          <w:color w:val="000000" w:themeColor="text1"/>
        </w:rPr>
        <w:t xml:space="preserve">   (S4)</w:t>
      </w:r>
    </w:p>
    <w:p w14:paraId="05421B11" w14:textId="77777777" w:rsidR="00B81424" w:rsidRPr="00CE7EB7" w:rsidRDefault="00E54E0B">
      <w:pPr>
        <w:spacing w:line="480" w:lineRule="auto"/>
        <w:rPr>
          <w:rFonts w:ascii="Aptos" w:hAnsi="Aptos"/>
          <w:color w:val="000000" w:themeColor="text1"/>
        </w:rPr>
      </w:pPr>
      <w:r w:rsidRPr="00CE7EB7">
        <w:rPr>
          <w:rFonts w:ascii="Aptos" w:hAnsi="Aptos"/>
        </w:rPr>
        <w:t xml:space="preserve">This is the reduced generalized Lotka–Volterra consumer system. The coefficient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CE7EB7">
        <w:rPr>
          <w:rFonts w:ascii="Aptos" w:hAnsi="Aptos"/>
        </w:rPr>
        <w:t xml:space="preserve"> is consumer </w:t>
      </w:r>
      <m:oMath>
        <m:r>
          <w:rPr>
            <w:rFonts w:ascii="Cambria Math" w:hAnsi="Cambria Math"/>
          </w:rPr>
          <m:t>i</m:t>
        </m:r>
      </m:oMath>
      <w:r w:rsidRPr="00CE7EB7">
        <w:rPr>
          <w:rFonts w:ascii="Aptos" w:hAnsi="Aptos"/>
        </w:rPr>
        <w:t xml:space="preserve">’s resource-supported intrinsic per-capita growth rate, and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CE7EB7">
        <w:rPr>
          <w:rFonts w:ascii="Aptos" w:hAnsi="Aptos"/>
        </w:rPr>
        <w:t xml:space="preserve"> is the reduction in consumer </w:t>
      </w:r>
      <m:oMath>
        <m:r>
          <w:rPr>
            <w:rFonts w:ascii="Cambria Math" w:hAnsi="Cambria Math"/>
          </w:rPr>
          <m:t>i</m:t>
        </m:r>
      </m:oMath>
      <w:r w:rsidRPr="00CE7EB7">
        <w:rPr>
          <w:rFonts w:ascii="Aptos" w:hAnsi="Aptos"/>
        </w:rPr>
        <w:t xml:space="preserve">’s per-capita growth per unit abundance of consumer </w:t>
      </w:r>
      <m:oMath>
        <m:r>
          <w:rPr>
            <w:rFonts w:ascii="Cambria Math" w:hAnsi="Cambria Math"/>
          </w:rPr>
          <m:t>j</m:t>
        </m:r>
      </m:oMath>
      <w:r w:rsidRPr="00CE7EB7">
        <w:rPr>
          <w:rFonts w:ascii="Aptos" w:hAnsi="Aptos"/>
        </w:rPr>
        <w:t xml:space="preserve">. The index </w:t>
      </w:r>
      <m:oMath>
        <m:r>
          <w:rPr>
            <w:rFonts w:ascii="Cambria Math" w:hAnsi="Cambria Math"/>
          </w:rPr>
          <m:t>j</m:t>
        </m:r>
      </m:oMath>
      <w:r w:rsidRPr="00CE7EB7">
        <w:rPr>
          <w:rFonts w:ascii="Aptos" w:hAnsi="Aptos"/>
        </w:rPr>
        <w:t xml:space="preserve"> ranges over all consumers, including </w:t>
      </w:r>
      <m:oMath>
        <m:r>
          <w:rPr>
            <w:rFonts w:ascii="Cambria Math" w:hAnsi="Cambria Math"/>
          </w:rPr>
          <m:t>i</m:t>
        </m:r>
      </m:oMath>
      <w:r w:rsidRPr="00CE7EB7">
        <w:rPr>
          <w:rFonts w:ascii="Aptos" w:hAnsi="Aptos"/>
        </w:rPr>
        <w:t xml:space="preserve"> itself; therefore diagonal entries </w:t>
      </w:r>
      <m:oMath>
        <m:sSub>
          <m:sSubPr>
            <m:ctrlPr>
              <w:rPr>
                <w:rFonts w:ascii="Cambria Math" w:hAnsi="Cambria Math"/>
              </w:rPr>
            </m:ctrlPr>
          </m:sSubPr>
          <m:e>
            <m:r>
              <w:rPr>
                <w:rFonts w:ascii="Cambria Math" w:hAnsi="Cambria Math"/>
              </w:rPr>
              <m:t>A</m:t>
            </m:r>
          </m:e>
          <m:sub>
            <m:r>
              <w:rPr>
                <w:rFonts w:ascii="Cambria Math" w:hAnsi="Cambria Math"/>
              </w:rPr>
              <m:t>ii</m:t>
            </m:r>
          </m:sub>
        </m:sSub>
      </m:oMath>
      <w:r w:rsidRPr="00CE7EB7">
        <w:rPr>
          <w:rFonts w:ascii="Aptos" w:hAnsi="Aptos"/>
        </w:rPr>
        <w:t xml:space="preserve"> represent self-limitation and off-diagonal entries represent shared-resource competition.</w:t>
      </w:r>
    </w:p>
    <w:p w14:paraId="54151C2D" w14:textId="77777777" w:rsidR="0070331D" w:rsidRPr="00CE7EB7" w:rsidRDefault="002B22C3">
      <w:pPr>
        <w:spacing w:line="480" w:lineRule="auto"/>
        <w:rPr>
          <w:rFonts w:ascii="Aptos" w:hAnsi="Apto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α</m:t>
            </m:r>
          </m:sub>
          <m:sup>
            <m:r>
              <w:rPr>
                <w:rFonts w:ascii="Cambria Math" w:hAnsi="Cambria Math"/>
                <w:color w:val="000000" w:themeColor="text1"/>
              </w:rPr>
              <m:t>​</m:t>
            </m:r>
          </m:sup>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α</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iα</m:t>
                    </m:r>
                  </m:sub>
                </m:sSub>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e>
        </m:nary>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w:r w:rsidR="006D3DA6" w:rsidRPr="00CE7EB7">
        <w:rPr>
          <w:rFonts w:ascii="Aptos" w:hAnsi="Aptos"/>
          <w:color w:val="000000" w:themeColor="text1"/>
        </w:rPr>
        <w:t xml:space="preserve">   (S5)</w:t>
      </w:r>
    </w:p>
    <w:p w14:paraId="48E6C6FF" w14:textId="77777777" w:rsidR="00B81424" w:rsidRPr="00CE7EB7" w:rsidRDefault="00E54E0B">
      <w:pPr>
        <w:spacing w:line="480" w:lineRule="auto"/>
        <w:rPr>
          <w:rFonts w:ascii="Aptos" w:hAnsi="Aptos"/>
          <w:color w:val="000000" w:themeColor="text1"/>
        </w:rPr>
      </w:pPr>
      <w:r w:rsidRPr="00CE7EB7">
        <w:rPr>
          <w:rFonts w:ascii="Aptos" w:hAnsi="Aptos"/>
        </w:rPr>
        <w:t xml:space="preserve">The term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CE7EB7">
        <w:rPr>
          <w:rFonts w:ascii="Aptos" w:hAnsi="Aptos"/>
        </w:rPr>
        <w:t xml:space="preserve"> combines the growth contribution of all resources at their supply-limited concentrations, </w:t>
      </w:r>
      <m:oMath>
        <m:sSub>
          <m:sSubPr>
            <m:ctrlPr>
              <w:rPr>
                <w:rFonts w:ascii="Cambria Math" w:hAnsi="Cambria Math"/>
              </w:rPr>
            </m:ctrlPr>
          </m:sSubPr>
          <m:e>
            <m:r>
              <w:rPr>
                <w:rFonts w:ascii="Cambria Math" w:hAnsi="Cambria Math"/>
              </w:rPr>
              <m:t>w</m:t>
            </m:r>
          </m:e>
          <m:sub>
            <m:r>
              <w:rPr>
                <w:rFonts w:ascii="Cambria Math" w:hAnsi="Cambria Math"/>
              </w:rPr>
              <m:t>α</m:t>
            </m:r>
          </m:sub>
        </m:sSub>
        <m:sSub>
          <m:sSubPr>
            <m:ctrlPr>
              <w:rPr>
                <w:rFonts w:ascii="Cambria Math" w:hAnsi="Cambria Math"/>
              </w:rPr>
            </m:ctrlPr>
          </m:sSubPr>
          <m:e>
            <m:r>
              <w:rPr>
                <w:rFonts w:ascii="Cambria Math" w:hAnsi="Cambria Math"/>
              </w:rPr>
              <m:t>c</m:t>
            </m:r>
          </m:e>
          <m:sub>
            <m:r>
              <w:rPr>
                <w:rFonts w:ascii="Cambria Math" w:hAnsi="Cambria Math"/>
              </w:rPr>
              <m:t>iα</m:t>
            </m:r>
          </m:sub>
        </m:sSub>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xml:space="preserve">, and subtracts consumer loss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CE7EB7">
        <w:rPr>
          <w:rFonts w:ascii="Aptos" w:hAnsi="Aptos"/>
        </w:rPr>
        <w:t xml:space="preserve">. Here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xml:space="preserve"> is the positive resource equilibrium in the absence of consumers, </w:t>
      </w:r>
      <m:oMath>
        <m:sSub>
          <m:sSubPr>
            <m:ctrlPr>
              <w:rPr>
                <w:rFonts w:ascii="Cambria Math" w:hAnsi="Cambria Math"/>
              </w:rPr>
            </m:ctrlPr>
          </m:sSubPr>
          <m:e>
            <m:r>
              <w:rPr>
                <w:rFonts w:ascii="Cambria Math" w:hAnsi="Cambria Math"/>
              </w:rPr>
              <m:t>c</m:t>
            </m:r>
          </m:e>
          <m:sub>
            <m:r>
              <w:rPr>
                <w:rFonts w:ascii="Cambria Math" w:hAnsi="Cambria Math"/>
              </w:rPr>
              <m:t>iα</m:t>
            </m:r>
          </m:sub>
        </m:sSub>
      </m:oMath>
      <w:r w:rsidRPr="00CE7EB7">
        <w:rPr>
          <w:rFonts w:ascii="Aptos" w:hAnsi="Aptos"/>
        </w:rPr>
        <w:t xml:space="preserve"> is uptake by consumer </w:t>
      </w:r>
      <m:oMath>
        <m:r>
          <w:rPr>
            <w:rFonts w:ascii="Cambria Math" w:hAnsi="Cambria Math"/>
          </w:rPr>
          <m:t>i</m:t>
        </m:r>
      </m:oMath>
      <w:r w:rsidRPr="00CE7EB7">
        <w:rPr>
          <w:rFonts w:ascii="Aptos" w:hAnsi="Aptos"/>
        </w:rPr>
        <w:t xml:space="preserve">, and </w:t>
      </w:r>
      <m:oMath>
        <m:sSub>
          <m:sSubPr>
            <m:ctrlPr>
              <w:rPr>
                <w:rFonts w:ascii="Cambria Math" w:hAnsi="Cambria Math"/>
              </w:rPr>
            </m:ctrlPr>
          </m:sSubPr>
          <m:e>
            <m:r>
              <w:rPr>
                <w:rFonts w:ascii="Cambria Math" w:hAnsi="Cambria Math"/>
              </w:rPr>
              <m:t>w</m:t>
            </m:r>
          </m:e>
          <m:sub>
            <m:r>
              <w:rPr>
                <w:rFonts w:ascii="Cambria Math" w:hAnsi="Cambria Math"/>
              </w:rPr>
              <m:t>α</m:t>
            </m:r>
          </m:sub>
        </m:sSub>
      </m:oMath>
      <w:r w:rsidRPr="00CE7EB7">
        <w:rPr>
          <w:rFonts w:ascii="Aptos" w:hAnsi="Aptos"/>
        </w:rPr>
        <w:t xml:space="preserve"> is the associated conversion weight. Thus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CE7EB7">
        <w:rPr>
          <w:rFonts w:ascii="Aptos" w:hAnsi="Aptos"/>
        </w:rPr>
        <w:t xml:space="preserve"> is not an independent fitted interaction parameter in this reduction.</w:t>
      </w:r>
    </w:p>
    <w:p w14:paraId="586D024C" w14:textId="77777777" w:rsidR="0070331D" w:rsidRPr="00CE7EB7" w:rsidRDefault="002B22C3">
      <w:pPr>
        <w:spacing w:line="480" w:lineRule="auto"/>
        <w:rPr>
          <w:rFonts w:ascii="Aptos" w:hAnsi="Apto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ij</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α</m:t>
            </m:r>
          </m:sub>
          <m:sup>
            <m:r>
              <w:rPr>
                <w:rFonts w:ascii="Cambria Math" w:hAnsi="Cambria Math"/>
                <w:color w:val="000000" w:themeColor="text1"/>
              </w:rPr>
              <m:t>​</m:t>
            </m:r>
          </m:sup>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α</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iα</m:t>
                    </m:r>
                  </m:sub>
                </m:s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e>
        </m:nary>
      </m:oMath>
      <w:r w:rsidR="006D3DA6" w:rsidRPr="00CE7EB7">
        <w:rPr>
          <w:rFonts w:ascii="Aptos" w:hAnsi="Aptos"/>
          <w:color w:val="000000" w:themeColor="text1"/>
        </w:rPr>
        <w:t xml:space="preserve">   (S6)</w:t>
      </w:r>
    </w:p>
    <w:p w14:paraId="68FDF965" w14:textId="77777777" w:rsidR="00B81424" w:rsidRPr="00CE7EB7" w:rsidRDefault="00E54E0B">
      <w:pPr>
        <w:spacing w:line="480" w:lineRule="auto"/>
        <w:rPr>
          <w:rFonts w:ascii="Aptos" w:hAnsi="Aptos"/>
          <w:color w:val="000000" w:themeColor="text1"/>
        </w:rPr>
      </w:pPr>
      <w:r w:rsidRPr="00CE7EB7">
        <w:rPr>
          <w:rFonts w:ascii="Aptos" w:hAnsi="Aptos"/>
        </w:rPr>
        <w:t xml:space="preserve">Each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CE7EB7">
        <w:rPr>
          <w:rFonts w:ascii="Aptos" w:hAnsi="Aptos"/>
        </w:rPr>
        <w:t xml:space="preserve"> is the sum of resource-mediated competitive effects between consumers </w:t>
      </w:r>
      <m:oMath>
        <m:r>
          <w:rPr>
            <w:rFonts w:ascii="Cambria Math" w:hAnsi="Cambria Math"/>
          </w:rPr>
          <m:t>i</m:t>
        </m:r>
      </m:oMath>
      <w:r w:rsidRPr="00CE7EB7">
        <w:rPr>
          <w:rFonts w:ascii="Aptos" w:hAnsi="Aptos"/>
        </w:rPr>
        <w:t xml:space="preserve"> and </w:t>
      </w:r>
      <m:oMath>
        <m:r>
          <w:rPr>
            <w:rFonts w:ascii="Cambria Math" w:hAnsi="Cambria Math"/>
          </w:rPr>
          <m:t>j</m:t>
        </m:r>
      </m:oMath>
      <w:r w:rsidRPr="00CE7EB7">
        <w:rPr>
          <w:rFonts w:ascii="Aptos" w:hAnsi="Aptos"/>
        </w:rPr>
        <w:t xml:space="preserve">. The product </w:t>
      </w:r>
      <m:oMath>
        <m:sSub>
          <m:sSubPr>
            <m:ctrlPr>
              <w:rPr>
                <w:rFonts w:ascii="Cambria Math" w:hAnsi="Cambria Math"/>
              </w:rPr>
            </m:ctrlPr>
          </m:sSubPr>
          <m:e>
            <m:r>
              <w:rPr>
                <w:rFonts w:ascii="Cambria Math" w:hAnsi="Cambria Math"/>
              </w:rPr>
              <m:t>c</m:t>
            </m:r>
          </m:e>
          <m:sub>
            <m:r>
              <w:rPr>
                <w:rFonts w:ascii="Cambria Math" w:hAnsi="Cambria Math"/>
              </w:rPr>
              <m:t>iα</m:t>
            </m:r>
          </m:sub>
        </m:sSub>
        <m:sSub>
          <m:sSubPr>
            <m:ctrlPr>
              <w:rPr>
                <w:rFonts w:ascii="Cambria Math" w:hAnsi="Cambria Math"/>
              </w:rPr>
            </m:ctrlPr>
          </m:sSubPr>
          <m:e>
            <m:r>
              <w:rPr>
                <w:rFonts w:ascii="Cambria Math" w:hAnsi="Cambria Math"/>
              </w:rPr>
              <m:t>c</m:t>
            </m:r>
          </m:e>
          <m:sub>
            <m:r>
              <w:rPr>
                <w:rFonts w:ascii="Cambria Math" w:hAnsi="Cambria Math"/>
              </w:rPr>
              <m:t>jα</m:t>
            </m:r>
          </m:sub>
        </m:sSub>
      </m:oMath>
      <w:r w:rsidRPr="00CE7EB7">
        <w:rPr>
          <w:rFonts w:ascii="Aptos" w:hAnsi="Aptos"/>
        </w:rPr>
        <w:t xml:space="preserve"> describes shared use of resource </w:t>
      </w:r>
      <m:oMath>
        <m:r>
          <w:rPr>
            <w:rFonts w:ascii="Cambria Math" w:hAnsi="Cambria Math"/>
          </w:rPr>
          <m:t>α</m:t>
        </m:r>
      </m:oMath>
      <w:r w:rsidRPr="00CE7EB7">
        <w:rPr>
          <w:rFonts w:ascii="Aptos" w:hAnsi="Aptos"/>
        </w:rPr>
        <w:t xml:space="preserve">; </w:t>
      </w:r>
      <m:oMath>
        <m:sSub>
          <m:sSubPr>
            <m:ctrlPr>
              <w:rPr>
                <w:rFonts w:ascii="Cambria Math" w:hAnsi="Cambria Math"/>
              </w:rPr>
            </m:ctrlPr>
          </m:sSubPr>
          <m:e>
            <m:r>
              <w:rPr>
                <w:rFonts w:ascii="Cambria Math" w:hAnsi="Cambria Math"/>
              </w:rPr>
              <m:t>w</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xml:space="preserve"> weights its contribution. With nonnegative uptake and positive weights, every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CE7EB7">
        <w:rPr>
          <w:rFonts w:ascii="Aptos" w:hAnsi="Aptos"/>
        </w:rPr>
        <w:t xml:space="preserve"> is nonnegative and </w:t>
      </w:r>
      <m:oMath>
        <m:r>
          <w:rPr>
            <w:rFonts w:ascii="Cambria Math" w:hAnsi="Cambria Math"/>
          </w:rPr>
          <m:t>A</m:t>
        </m:r>
      </m:oMath>
      <w:r w:rsidRPr="00CE7EB7">
        <w:rPr>
          <w:rFonts w:ascii="Aptos" w:hAnsi="Aptos"/>
        </w:rPr>
        <w:t xml:space="preserve"> is symmetric. These sign and reciprocity restrictions are specific predictions of this consumer-resource reduction.</w:t>
      </w:r>
    </w:p>
    <w:p w14:paraId="72558515" w14:textId="77777777" w:rsidR="003310A9" w:rsidRPr="00CE7EB7" w:rsidRDefault="00235995">
      <w:pPr>
        <w:pStyle w:val="Heading2"/>
        <w:spacing w:before="0"/>
        <w:rPr>
          <w:rFonts w:ascii="Aptos" w:hAnsi="Aptos"/>
        </w:rPr>
      </w:pPr>
      <w:r w:rsidRPr="00CE7EB7">
        <w:rPr>
          <w:rFonts w:ascii="Aptos" w:hAnsi="Aptos"/>
          <w:sz w:val="21"/>
        </w:rPr>
        <w:t>S1.3 Properties of the interaction matrix</w:t>
      </w:r>
    </w:p>
    <w:p w14:paraId="55DF7E53"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Under these assumptions the interaction matrix is symmetric and positive semidefinite. Each resource contributes a rank-one positive semidefinite term, so the interaction rank cannot exceed the dimension of the resource-use span.</w:t>
      </w:r>
    </w:p>
    <w:p w14:paraId="79FE0E31" w14:textId="77777777" w:rsidR="003310A9" w:rsidRPr="00CE7EB7" w:rsidRDefault="00235995">
      <w:pPr>
        <w:spacing w:line="480" w:lineRule="auto"/>
        <w:rPr>
          <w:rFonts w:ascii="Aptos" w:hAnsi="Aptos"/>
        </w:rPr>
      </w:pPr>
      <w:r w:rsidRPr="00CE7EB7">
        <w:rPr>
          <w:rFonts w:ascii="Aptos" w:hAnsi="Aptos"/>
        </w:rPr>
        <w:t xml:space="preserve">Two further properties are testable independently of any rank estimate. Every entry of Equation S6 is nonnegative, so the reduced dynamics in Equation S4 contain competition only: shared depletion of self-renewing resources cannot generate facilitation within this model. The matrix is also symmetric, so interactions are reciprocal. Positive semidefiniteness follows directly: for any vector </w:t>
      </w:r>
      <m:oMath>
        <m:r>
          <w:rPr>
            <w:rFonts w:ascii="Cambria Math" w:hAnsi="Cambria Math"/>
          </w:rPr>
          <m:t>x</m:t>
        </m:r>
      </m:oMath>
      <w:r w:rsidRPr="00CE7EB7">
        <w:rPr>
          <w:rFonts w:ascii="Aptos" w:hAnsi="Aptos"/>
        </w:rPr>
        <w:t xml:space="preserve"> of length </w:t>
      </w:r>
      <m:oMath>
        <m:r>
          <w:rPr>
            <w:rFonts w:ascii="Cambria Math" w:hAnsi="Cambria Math"/>
          </w:rPr>
          <m:t>S</m:t>
        </m:r>
      </m:oMath>
      <w:r w:rsidRPr="00CE7EB7">
        <w:rPr>
          <w:rFonts w:ascii="Aptos" w:hAnsi="Aptos"/>
        </w:rPr>
        <w:t>,</w:t>
      </w:r>
    </w:p>
    <w:p w14:paraId="2273580D" w14:textId="77777777" w:rsidR="003310A9" w:rsidRPr="00CE7EB7" w:rsidRDefault="002B22C3">
      <w:pPr>
        <w:spacing w:line="480" w:lineRule="auto"/>
        <w:rPr>
          <w:rFonts w:ascii="Aptos" w:hAnsi="Aptos"/>
        </w:rPr>
      </w:pP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w:rPr>
            <w:rFonts w:ascii="Cambria Math" w:hAnsi="Cambria Math"/>
          </w:rPr>
          <m:t>Ax</m:t>
        </m:r>
        <m:r>
          <m:rPr>
            <m:sty m:val="p"/>
          </m:rP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m:rPr>
                        <m:sty m:val="p"/>
                      </m:rPr>
                      <w:rPr>
                        <w:rFonts w:ascii="Cambria Math" w:hAnsi="Cambria Math"/>
                      </w:rPr>
                      <m:t>1/2</m:t>
                    </m:r>
                  </m:sup>
                </m:sSup>
                <m:sSup>
                  <m:sSupPr>
                    <m:ctrlPr>
                      <w:rPr>
                        <w:rFonts w:ascii="Cambria Math" w:hAnsi="Cambria Math"/>
                        <w:i/>
                      </w:rPr>
                    </m:ctrlPr>
                  </m:sSupPr>
                  <m:e>
                    <m:r>
                      <w:rPr>
                        <w:rFonts w:ascii="Cambria Math" w:hAnsi="Cambria Math"/>
                      </w:rPr>
                      <m:t>C</m:t>
                    </m:r>
                  </m:e>
                  <m:sup>
                    <m:r>
                      <m:rPr>
                        <m:sty m:val="p"/>
                      </m:rPr>
                      <w:rPr>
                        <w:rFonts w:ascii="Cambria Math" w:hAnsi="Cambria Math"/>
                      </w:rPr>
                      <m:t>⊤</m:t>
                    </m:r>
                  </m:sup>
                </m:sSup>
                <m:r>
                  <w:rPr>
                    <w:rFonts w:ascii="Cambria Math" w:hAnsi="Cambria Math"/>
                  </w:rPr>
                  <m:t>x</m:t>
                </m:r>
              </m:e>
            </m:d>
          </m:e>
          <m:sup>
            <m:r>
              <m:rPr>
                <m:sty m:val="p"/>
              </m:rPr>
              <w:rPr>
                <w:rFonts w:ascii="Cambria Math" w:hAnsi="Cambria Math"/>
              </w:rPr>
              <m:t>2</m:t>
            </m:r>
          </m:sup>
        </m:sSup>
        <m:r>
          <m:rPr>
            <m:sty m:val="p"/>
          </m:rPr>
          <w:rPr>
            <w:rFonts w:ascii="Cambria Math" w:hAnsi="Cambria Math"/>
          </w:rPr>
          <m:t xml:space="preserve"> ≥ 0</m:t>
        </m:r>
      </m:oMath>
      <w:r w:rsidR="00235995" w:rsidRPr="00CE7EB7">
        <w:rPr>
          <w:rFonts w:ascii="Aptos" w:hAnsi="Aptos"/>
        </w:rPr>
        <w:t xml:space="preserve">   (S7)</w:t>
      </w:r>
    </w:p>
    <w:p w14:paraId="3E05B3EE" w14:textId="77777777" w:rsidR="00B81424" w:rsidRPr="00CE7EB7" w:rsidRDefault="00E54E0B">
      <w:pPr>
        <w:spacing w:line="480" w:lineRule="auto"/>
        <w:rPr>
          <w:rFonts w:ascii="Aptos" w:hAnsi="Aptos"/>
          <w:color w:val="000000" w:themeColor="text1"/>
        </w:rPr>
      </w:pPr>
      <w:r w:rsidRPr="00CE7EB7">
        <w:rPr>
          <w:rFonts w:ascii="Aptos" w:hAnsi="Aptos"/>
        </w:rPr>
        <w:t xml:space="preserve">Here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sup>
        </m:sSup>
      </m:oMath>
      <w:r w:rsidRPr="00CE7EB7">
        <w:rPr>
          <w:rFonts w:ascii="Aptos" w:hAnsi="Aptos"/>
        </w:rPr>
        <w:t xml:space="preserve"> is an arbitrary vector over the </w:t>
      </w:r>
      <m:oMath>
        <m:r>
          <w:rPr>
            <w:rFonts w:ascii="Cambria Math" w:hAnsi="Cambria Math"/>
          </w:rPr>
          <m:t>S</m:t>
        </m:r>
      </m:oMath>
      <w:r w:rsidRPr="00CE7EB7">
        <w:rPr>
          <w:rFonts w:ascii="Aptos" w:hAnsi="Aptos"/>
        </w:rPr>
        <w:t xml:space="preserve"> consumers,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P</m:t>
            </m:r>
          </m:sup>
        </m:sSup>
      </m:oMath>
      <w:r w:rsidRPr="00CE7EB7">
        <w:rPr>
          <w:rFonts w:ascii="Aptos" w:hAnsi="Aptos"/>
        </w:rPr>
        <w:t xml:space="preserve"> is the consumer-by-resource uptake matrix with entries </w:t>
      </w:r>
      <m:oMath>
        <m:sSub>
          <m:sSubPr>
            <m:ctrlPr>
              <w:rPr>
                <w:rFonts w:ascii="Cambria Math" w:hAnsi="Cambria Math"/>
              </w:rPr>
            </m:ctrlPr>
          </m:sSubPr>
          <m:e>
            <m:r>
              <w:rPr>
                <w:rFonts w:ascii="Cambria Math" w:hAnsi="Cambria Math"/>
              </w:rPr>
              <m:t>c</m:t>
            </m:r>
          </m:e>
          <m:sub>
            <m:r>
              <w:rPr>
                <w:rFonts w:ascii="Cambria Math" w:hAnsi="Cambria Math"/>
              </w:rPr>
              <m:t>iα</m:t>
            </m:r>
          </m:sub>
        </m:sSub>
      </m:oMath>
      <w:r w:rsidRPr="00CE7EB7">
        <w:rPr>
          <w:rFonts w:ascii="Aptos" w:hAnsi="Aptos"/>
        </w:rPr>
        <w:t xml:space="preserve">, and </w:t>
      </w:r>
      <m:oMath>
        <m:r>
          <w:rPr>
            <w:rFonts w:ascii="Cambria Math" w:hAnsi="Cambria Math"/>
          </w:rPr>
          <m:t>A</m:t>
        </m:r>
      </m:oMath>
      <w:r w:rsidRPr="00CE7EB7">
        <w:rPr>
          <w:rFonts w:ascii="Aptos" w:hAnsi="Aptos"/>
        </w:rPr>
        <w:t xml:space="preserve"> is the </w:t>
      </w:r>
      <m:oMath>
        <m:r>
          <w:rPr>
            <w:rFonts w:ascii="Cambria Math" w:hAnsi="Cambria Math"/>
          </w:rPr>
          <m:t>S</m:t>
        </m:r>
        <m:r>
          <m:rPr>
            <m:sty m:val="p"/>
          </m:rPr>
          <w:rPr>
            <w:rFonts w:ascii="Cambria Math" w:hAnsi="Cambria Math"/>
          </w:rPr>
          <m:t>×</m:t>
        </m:r>
        <m:r>
          <w:rPr>
            <w:rFonts w:ascii="Cambria Math" w:hAnsi="Cambria Math"/>
          </w:rPr>
          <m:t>S</m:t>
        </m:r>
      </m:oMath>
      <w:r w:rsidRPr="00CE7EB7">
        <w:rPr>
          <w:rFonts w:ascii="Aptos" w:hAnsi="Aptos"/>
        </w:rPr>
        <w:t xml:space="preserve"> interaction matrix. The </w:t>
      </w:r>
      <m:oMath>
        <m:r>
          <w:rPr>
            <w:rFonts w:ascii="Cambria Math" w:hAnsi="Cambria Math"/>
          </w:rPr>
          <m:t>P</m:t>
        </m:r>
        <m:r>
          <m:rPr>
            <m:sty m:val="p"/>
          </m:rPr>
          <w:rPr>
            <w:rFonts w:ascii="Cambria Math" w:hAnsi="Cambria Math"/>
          </w:rPr>
          <m:t>×</m:t>
        </m:r>
        <m:r>
          <w:rPr>
            <w:rFonts w:ascii="Cambria Math" w:hAnsi="Cambria Math"/>
          </w:rPr>
          <m:t>P</m:t>
        </m:r>
      </m:oMath>
      <w:r w:rsidRPr="00CE7EB7">
        <w:rPr>
          <w:rFonts w:ascii="Aptos" w:hAnsi="Aptos"/>
        </w:rPr>
        <w:t xml:space="preserve"> diagonal matrix </w:t>
      </w:r>
      <m:oMath>
        <m:r>
          <w:rPr>
            <w:rFonts w:ascii="Cambria Math" w:hAnsi="Cambria Math"/>
          </w:rPr>
          <m:t>W</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e>
        </m:d>
      </m:oMath>
      <w:r w:rsidRPr="00CE7EB7">
        <w:rPr>
          <w:rFonts w:ascii="Aptos" w:hAnsi="Aptos"/>
        </w:rPr>
        <w:t xml:space="preserve"> contains positive resource weights. The superscript </w:t>
      </w:r>
      <m:oMath>
        <m:r>
          <m:rPr>
            <m:sty m:val="p"/>
          </m:rPr>
          <w:rPr>
            <w:rFonts w:ascii="Cambria Math" w:hAnsi="Cambria Math"/>
          </w:rPr>
          <m:t>⊤</m:t>
        </m:r>
      </m:oMath>
      <w:r w:rsidRPr="00CE7EB7">
        <w:rPr>
          <w:rFonts w:ascii="Aptos" w:hAnsi="Aptos"/>
        </w:rPr>
        <w:t xml:space="preserve"> denotes transpose, </w:t>
      </w:r>
      <m:oMath>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oMath>
      <w:r w:rsidRPr="00CE7EB7">
        <w:rPr>
          <w:rFonts w:ascii="Aptos" w:hAnsi="Aptos"/>
        </w:rPr>
        <w:t xml:space="preserve"> is its positive diagonal square root, and </w:t>
      </w:r>
      <m:oMath>
        <m:r>
          <m:rPr>
            <m:sty m:val="p"/>
          </m:rPr>
          <w:rPr>
            <w:rFonts w:ascii="Cambria Math" w:hAnsi="Cambria Math"/>
          </w:rPr>
          <m:t>∥⋅∥</m:t>
        </m:r>
      </m:oMath>
      <w:r w:rsidRPr="00CE7EB7">
        <w:rPr>
          <w:rFonts w:ascii="Aptos" w:hAnsi="Aptos"/>
        </w:rPr>
        <w:t xml:space="preserve"> is the Euclidean norm. The squared norm proves positive semidefiniteness, not population stability.</w:t>
      </w:r>
    </w:p>
    <w:p w14:paraId="7BD476B1" w14:textId="77777777" w:rsidR="003310A9" w:rsidRPr="00CE7EB7" w:rsidRDefault="00235995">
      <w:pPr>
        <w:spacing w:line="480" w:lineRule="auto"/>
        <w:rPr>
          <w:rFonts w:ascii="Aptos" w:hAnsi="Aptos"/>
        </w:rPr>
      </w:pPr>
      <w:r>
        <w:t>This identity concerns the interaction matrix alone. It does not establish that the reduced system has a feasible positive equilibrium, nor that every trajectory converges. Facilitation, strong asymmetry, directional cross-feeding, consumer-specific yields, and nonreciprocal consumption all fall outside this reduction, and observing any of them is more informative than a rank estimate on its own.</w:t>
      </w:r>
    </w:p>
    <w:p w14:paraId="20DA5E36" w14:textId="77777777" w:rsidR="003310A9" w:rsidRPr="00CE7EB7" w:rsidRDefault="00235995">
      <w:pPr>
        <w:pStyle w:val="Heading2"/>
        <w:spacing w:before="0"/>
        <w:rPr>
          <w:rFonts w:ascii="Aptos" w:hAnsi="Aptos"/>
        </w:rPr>
      </w:pPr>
      <w:r w:rsidRPr="00CE7EB7">
        <w:rPr>
          <w:rFonts w:ascii="Aptos" w:hAnsi="Aptos"/>
          <w:sz w:val="21"/>
        </w:rPr>
        <w:lastRenderedPageBreak/>
        <w:t>S1.4 Domain of validity of the reduction</w:t>
      </w:r>
    </w:p>
    <w:p w14:paraId="745D0578" w14:textId="77777777" w:rsidR="003310A9" w:rsidRPr="00CE7EB7" w:rsidRDefault="00235995">
      <w:pPr>
        <w:spacing w:line="480" w:lineRule="auto"/>
        <w:rPr>
          <w:rFonts w:ascii="Aptos" w:hAnsi="Aptos"/>
        </w:rPr>
      </w:pPr>
      <w:r w:rsidRPr="00CE7EB7">
        <w:rPr>
          <w:rFonts w:ascii="Aptos" w:hAnsi="Aptos"/>
        </w:rPr>
        <w:t xml:space="preserve">Equations S4 to S6 are exact on the quasi-steady manifold. For finite </w:t>
      </w:r>
      <m:oMath>
        <m:r>
          <w:rPr>
            <w:rFonts w:ascii="Cambria Math" w:hAnsi="Cambria Math"/>
          </w:rPr>
          <m:t>ε</m:t>
        </m:r>
      </m:oMath>
      <w:r w:rsidRPr="00CE7EB7">
        <w:rPr>
          <w:rFonts w:ascii="Aptos" w:hAnsi="Aptos"/>
        </w:rPr>
        <w:t xml:space="preserve"> the full trajectory only approximately follows it. Suppose the reduced consumer trajectory stays in a compact set in which every resource remains a fixed positive distance from depletion, so that every resource satisfies the uniform positive-margin condition:</w:t>
      </w:r>
    </w:p>
    <w:p w14:paraId="2FA7D437" w14:textId="77777777" w:rsidR="003310A9" w:rsidRPr="00CE7EB7" w:rsidRDefault="002B22C3">
      <w:pPr>
        <w:spacing w:line="480" w:lineRule="auto"/>
        <w:rPr>
          <w:rFonts w:ascii="Aptos" w:hAnsi="Aptos"/>
        </w:rPr>
      </w:pPr>
      <m:oMath>
        <m:sSub>
          <m:sSubPr>
            <m:ctrlPr>
              <w:rPr>
                <w:rFonts w:ascii="Cambria Math" w:hAnsi="Cambria Math"/>
                <w:i/>
              </w:rPr>
            </m:ctrlPr>
          </m:sSubPr>
          <m:e>
            <m:r>
              <w:rPr>
                <w:rFonts w:ascii="Cambria Math" w:hAnsi="Cambria Math"/>
              </w:rPr>
              <m:t>r</m:t>
            </m:r>
          </m:e>
          <m:sub>
            <m:r>
              <w:rPr>
                <w:rFonts w:ascii="Cambria Math" w:hAnsi="Cambria Math"/>
              </w:rPr>
              <m:t>α</m:t>
            </m:r>
          </m:sub>
        </m:sSub>
        <m:r>
          <m:rPr>
            <m:sty m:val="p"/>
          </m:rP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c</m:t>
                </m:r>
              </m:e>
              <m:sub>
                <m:r>
                  <w:rPr>
                    <w:rFonts w:ascii="Cambria Math" w:hAnsi="Cambria Math"/>
                  </w:rPr>
                  <m:t>jα</m:t>
                </m:r>
              </m:sub>
            </m:sSub>
            <m:sSub>
              <m:sSubPr>
                <m:ctrlPr>
                  <w:rPr>
                    <w:rFonts w:ascii="Cambria Math" w:hAnsi="Cambria Math"/>
                    <w:i/>
                  </w:rPr>
                </m:ctrlPr>
              </m:sSubPr>
              <m:e>
                <m:r>
                  <w:rPr>
                    <w:rFonts w:ascii="Cambria Math" w:hAnsi="Cambria Math"/>
                  </w:rPr>
                  <m:t>n</m:t>
                </m:r>
              </m:e>
              <m:sub>
                <m:r>
                  <w:rPr>
                    <w:rFonts w:ascii="Cambria Math" w:hAnsi="Cambria Math"/>
                  </w:rPr>
                  <m:t>j</m:t>
                </m:r>
              </m:sub>
            </m:sSub>
          </m:e>
        </m:nary>
        <m:r>
          <m:rPr>
            <m:sty m:val="p"/>
          </m:rPr>
          <w:rPr>
            <w:rFonts w:ascii="Cambria Math" w:hAnsi="Cambria Math"/>
          </w:rPr>
          <m:t xml:space="preserve"> ≥ </m:t>
        </m:r>
        <m:r>
          <w:rPr>
            <w:rFonts w:ascii="Cambria Math" w:hAnsi="Cambria Math"/>
          </w:rPr>
          <m:t>δ</m:t>
        </m:r>
        <m:r>
          <m:rPr>
            <m:sty m:val="p"/>
          </m:rPr>
          <w:rPr>
            <w:rFonts w:ascii="Cambria Math" w:hAnsi="Cambria Math"/>
          </w:rPr>
          <m:t xml:space="preserve"> &gt; 0</m:t>
        </m:r>
      </m:oMath>
      <w:r w:rsidR="00235995" w:rsidRPr="00CE7EB7">
        <w:rPr>
          <w:rFonts w:ascii="Aptos" w:hAnsi="Aptos"/>
        </w:rPr>
        <w:t xml:space="preserve">   (S8)</w:t>
      </w:r>
    </w:p>
    <w:p w14:paraId="548512FA" w14:textId="77777777" w:rsidR="00B81424" w:rsidRPr="00CE7EB7" w:rsidRDefault="00E54E0B">
      <w:pPr>
        <w:spacing w:line="480" w:lineRule="auto"/>
        <w:rPr>
          <w:rFonts w:ascii="Aptos" w:hAnsi="Aptos"/>
          <w:color w:val="000000" w:themeColor="text1"/>
        </w:rPr>
      </w:pPr>
      <w:r w:rsidRPr="00CE7EB7">
        <w:rPr>
          <w:rFonts w:ascii="Aptos" w:hAnsi="Aptos"/>
        </w:rPr>
        <w:t xml:space="preserve">The constant </w:t>
      </w:r>
      <m:oMath>
        <m:r>
          <w:rPr>
            <w:rFonts w:ascii="Cambria Math" w:hAnsi="Cambria Math"/>
          </w:rPr>
          <m:t>δ</m:t>
        </m:r>
        <m:r>
          <m:rPr>
            <m:sty m:val="p"/>
          </m:rPr>
          <w:rPr>
            <w:rFonts w:ascii="Cambria Math" w:hAnsi="Cambria Math"/>
          </w:rPr>
          <m:t>&gt;</m:t>
        </m:r>
        <m:r>
          <w:rPr>
            <w:rFonts w:ascii="Cambria Math" w:hAnsi="Cambria Math"/>
          </w:rPr>
          <m:t>0</m:t>
        </m:r>
      </m:oMath>
      <w:r w:rsidRPr="00CE7EB7">
        <w:rPr>
          <w:rFonts w:ascii="Aptos" w:hAnsi="Aptos"/>
        </w:rPr>
        <w:t xml:space="preserve"> is a fixed lower bound on the renewal-minus-uptake margin for every resource </w:t>
      </w:r>
      <m:oMath>
        <m:r>
          <w:rPr>
            <w:rFonts w:ascii="Cambria Math" w:hAnsi="Cambria Math"/>
          </w:rPr>
          <m:t>α</m:t>
        </m:r>
      </m:oMath>
      <w:r w:rsidRPr="00CE7EB7">
        <w:rPr>
          <w:rFonts w:ascii="Aptos" w:hAnsi="Aptos"/>
        </w:rPr>
        <w:t xml:space="preserve"> along the reduced trajectory. The consumer abundances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CE7EB7">
        <w:rPr>
          <w:rFonts w:ascii="Aptos" w:hAnsi="Aptos"/>
        </w:rPr>
        <w:t xml:space="preserve"> can change in time, whereas </w:t>
      </w:r>
      <m:oMath>
        <m:sSub>
          <m:sSubPr>
            <m:ctrlPr>
              <w:rPr>
                <w:rFonts w:ascii="Cambria Math" w:hAnsi="Cambria Math"/>
              </w:rPr>
            </m:ctrlPr>
          </m:sSubPr>
          <m:e>
            <m:r>
              <w:rPr>
                <w:rFonts w:ascii="Cambria Math" w:hAnsi="Cambria Math"/>
              </w:rPr>
              <m:t>r</m:t>
            </m:r>
          </m:e>
          <m:sub>
            <m:r>
              <w:rPr>
                <w:rFonts w:ascii="Cambria Math" w:hAnsi="Cambria Math"/>
              </w:rPr>
              <m:t>α</m:t>
            </m:r>
          </m:sub>
        </m:sSub>
      </m:oMath>
      <w:r w:rsidRPr="00CE7EB7">
        <w:rPr>
          <w:rFonts w:ascii="Aptos" w:hAnsi="Aptos"/>
        </w:rPr>
        <w:t xml:space="preserve"> and </w:t>
      </w:r>
      <m:oMath>
        <m:sSub>
          <m:sSubPr>
            <m:ctrlPr>
              <w:rPr>
                <w:rFonts w:ascii="Cambria Math" w:hAnsi="Cambria Math"/>
              </w:rPr>
            </m:ctrlPr>
          </m:sSubPr>
          <m:e>
            <m:r>
              <w:rPr>
                <w:rFonts w:ascii="Cambria Math" w:hAnsi="Cambria Math"/>
              </w:rPr>
              <m:t>c</m:t>
            </m:r>
          </m:e>
          <m:sub>
            <m:r>
              <w:rPr>
                <w:rFonts w:ascii="Cambria Math" w:hAnsi="Cambria Math"/>
              </w:rPr>
              <m:t>jα</m:t>
            </m:r>
          </m:sub>
        </m:sSub>
      </m:oMath>
      <w:r w:rsidRPr="00CE7EB7">
        <w:rPr>
          <w:rFonts w:ascii="Aptos" w:hAnsi="Aptos"/>
        </w:rPr>
        <w:t xml:space="preserve"> are parameters of the model. The inequality therefore assumes that no retained resource approaches its depletion boundary; </w:t>
      </w:r>
      <m:oMath>
        <m:r>
          <w:rPr>
            <w:rFonts w:ascii="Cambria Math" w:hAnsi="Cambria Math"/>
          </w:rPr>
          <m:t>δ</m:t>
        </m:r>
      </m:oMath>
      <w:r w:rsidRPr="00CE7EB7">
        <w:rPr>
          <w:rFonts w:ascii="Aptos" w:hAnsi="Aptos"/>
        </w:rPr>
        <w:t xml:space="preserve"> is a mathematical separation margin, not a measurement-error tolerance.</w:t>
      </w:r>
    </w:p>
    <w:p w14:paraId="1035E839" w14:textId="77777777" w:rsidR="003310A9" w:rsidRPr="00CE7EB7" w:rsidRDefault="00235995">
      <w:pPr>
        <w:spacing w:line="480" w:lineRule="auto"/>
        <w:rPr>
          <w:rFonts w:ascii="Aptos" w:hAnsi="Aptos"/>
        </w:rPr>
      </w:pPr>
      <w:r>
        <w:t>At the quasi-steady state, the derivative of the resource equation with respect to its own concentration is</w:t>
      </w:r>
    </w:p>
    <w:p w14:paraId="7F1A9FA8" w14:textId="77777777" w:rsidR="003310A9" w:rsidRPr="00CE7EB7" w:rsidRDefault="002B22C3">
      <w:pPr>
        <w:spacing w:line="480" w:lineRule="auto"/>
        <w:rPr>
          <w:rFonts w:ascii="Aptos" w:hAnsi="Aptos"/>
        </w:rPr>
      </w:pPr>
      <m:oMath>
        <m:f>
          <m:fPr>
            <m:ctrlPr>
              <w:rPr>
                <w:rFonts w:ascii="Cambria Math" w:hAnsi="Cambria Math"/>
                <w:i/>
              </w:rPr>
            </m:ctrlPr>
          </m:fPr>
          <m:num>
            <m:r>
              <m:rPr>
                <m:sty m:val="p"/>
              </m:rP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α</m:t>
                        </m:r>
                      </m:sub>
                    </m:sSub>
                  </m:num>
                  <m:den>
                    <m:r>
                      <m:rPr>
                        <m:sty m:val="p"/>
                      </m:rPr>
                      <w:rPr>
                        <w:rFonts w:ascii="Cambria Math" w:hAnsi="Cambria Math"/>
                      </w:rPr>
                      <m:t>d</m:t>
                    </m:r>
                    <m:r>
                      <w:rPr>
                        <w:rFonts w:ascii="Cambria Math" w:hAnsi="Cambria Math"/>
                      </w:rPr>
                      <m:t>t</m:t>
                    </m:r>
                  </m:den>
                </m:f>
              </m:e>
            </m:d>
          </m:num>
          <m:den>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α</m:t>
                </m:r>
              </m:sub>
            </m:sSub>
          </m:den>
        </m:f>
        <m:r>
          <m:rPr>
            <m:sty m:val="p"/>
          </m:rPr>
          <w:rPr>
            <w:rFonts w:ascii="Cambria Math" w:hAnsi="Cambria Math"/>
          </w:rPr>
          <m:t xml:space="preserve"> = - </m:t>
        </m:r>
        <m:r>
          <w:rPr>
            <w:rFonts w:ascii="Cambria Math" w:hAnsi="Cambria Math"/>
          </w:rPr>
          <m:t>ε</m:t>
        </m:r>
        <m:sSub>
          <m:sSubPr>
            <m:ctrlPr>
              <w:rPr>
                <w:rFonts w:ascii="Cambria Math" w:hAnsi="Cambria Math"/>
                <w:i/>
              </w:rPr>
            </m:ctrlPr>
          </m:sSubPr>
          <m:e>
            <m:r>
              <w:rPr>
                <w:rFonts w:ascii="Cambria Math" w:hAnsi="Cambria Math"/>
              </w:rPr>
              <m:t>q</m:t>
            </m:r>
          </m:e>
          <m:sub>
            <m:r>
              <w:rPr>
                <w:rFonts w:ascii="Cambria Math" w:hAnsi="Cambria Math"/>
              </w:rPr>
              <m:t>α</m:t>
            </m:r>
          </m:sub>
        </m:sSub>
        <m:sSub>
          <m:sSubPr>
            <m:ctrlPr>
              <w:rPr>
                <w:rFonts w:ascii="Cambria Math" w:hAnsi="Cambria Math"/>
                <w:i/>
              </w:rPr>
            </m:ctrlPr>
          </m:sSubPr>
          <m:e>
            <m:sSup>
              <m:sSupPr>
                <m:ctrlPr>
                  <w:rPr>
                    <w:rFonts w:ascii="Cambria Math" w:hAnsi="Cambria Math"/>
                    <w:i/>
                  </w:rPr>
                </m:ctrlPr>
              </m:sSupPr>
              <m:e>
                <m:r>
                  <w:rPr>
                    <w:rFonts w:ascii="Cambria Math" w:hAnsi="Cambria Math"/>
                  </w:rPr>
                  <m:t>R</m:t>
                </m:r>
              </m:e>
              <m:sup>
                <m:r>
                  <m:rPr>
                    <m:sty m:val="p"/>
                  </m:rPr>
                  <w:rPr>
                    <w:rFonts w:ascii="Cambria Math" w:hAnsi="Cambria Math"/>
                  </w:rPr>
                  <m:t>*</m:t>
                </m:r>
              </m:sup>
            </m:sSup>
          </m:e>
          <m:sub>
            <m:r>
              <w:rPr>
                <w:rFonts w:ascii="Cambria Math" w:hAnsi="Cambria Math"/>
              </w:rPr>
              <m:t>α</m:t>
            </m:r>
          </m:sub>
        </m:sSub>
      </m:oMath>
      <w:r w:rsidR="00235995" w:rsidRPr="00CE7EB7">
        <w:rPr>
          <w:rFonts w:ascii="Aptos" w:hAnsi="Aptos"/>
        </w:rPr>
        <w:t xml:space="preserve">   (S9)</w:t>
      </w:r>
    </w:p>
    <w:p w14:paraId="3B6BDEC7" w14:textId="77777777" w:rsidR="00B81424" w:rsidRPr="00CE7EB7" w:rsidRDefault="00E54E0B">
      <w:pPr>
        <w:spacing w:line="480" w:lineRule="auto"/>
        <w:rPr>
          <w:rFonts w:ascii="Aptos" w:hAnsi="Aptos"/>
          <w:color w:val="000000" w:themeColor="text1"/>
        </w:rPr>
      </w:pPr>
      <w:r w:rsidRPr="00CE7EB7">
        <w:rPr>
          <w:rFonts w:ascii="Aptos" w:hAnsi="Aptos"/>
        </w:rPr>
        <w:t xml:space="preserve">The derivative is the local slope of the resource </w:t>
      </w:r>
      <m:oMath>
        <m:r>
          <w:rPr>
            <w:rFonts w:ascii="Cambria Math" w:hAnsi="Cambria Math"/>
          </w:rPr>
          <m:t>α</m:t>
        </m:r>
      </m:oMath>
      <w:r w:rsidRPr="00CE7EB7">
        <w:rPr>
          <w:rFonts w:ascii="Aptos" w:hAnsi="Aptos"/>
        </w:rPr>
        <w:t xml:space="preserve"> time derivative with respect to its own concentration, evaluated on the positive quasi-steady branch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rsidRPr="00CE7EB7">
        <w:rPr>
          <w:rFonts w:ascii="Aptos" w:hAnsi="Aptos"/>
        </w:rPr>
        <w:t xml:space="preserve"> with consumer abundances held fixed. Its value </w:t>
      </w:r>
      <m:oMath>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q</m:t>
            </m:r>
          </m:e>
          <m:sub>
            <m:r>
              <w:rPr>
                <w:rFonts w:ascii="Cambria Math" w:hAnsi="Cambria Math"/>
              </w:rPr>
              <m:t>α</m:t>
            </m:r>
          </m:sub>
        </m:sSub>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rsidRPr="00CE7EB7">
        <w:rPr>
          <w:rFonts w:ascii="Aptos" w:hAnsi="Aptos"/>
        </w:rPr>
        <w:t xml:space="preserve"> is the linear restoring rate: because all three factors are positive, small perturbations decay. As </w:t>
      </w:r>
      <m:oMath>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rsidRPr="00CE7EB7">
        <w:rPr>
          <w:rFonts w:ascii="Aptos" w:hAnsi="Aptos"/>
        </w:rPr>
        <w:t xml:space="preserve"> approaches zero this restoring rate vanishes, explaining the loss of uniform fast–slow separation near depletion.</w:t>
      </w:r>
    </w:p>
    <w:p w14:paraId="344E3D9A" w14:textId="77777777" w:rsidR="003310A9" w:rsidRPr="00CE7EB7" w:rsidRDefault="00235995">
      <w:pPr>
        <w:spacing w:line="480" w:lineRule="auto"/>
        <w:rPr>
          <w:rFonts w:ascii="Aptos" w:hAnsi="Aptos"/>
        </w:rPr>
      </w:pPr>
      <w:r w:rsidRPr="00CE7EB7">
        <w:rPr>
          <w:rFonts w:ascii="Aptos" w:hAnsi="Aptos"/>
        </w:rPr>
        <w:t xml:space="preserve">Because the self-limitation coefficient and the equilibrium concentration are both positive, this derivative is negative, and under Equation S8 it is bounded away from zero. Small resource displacements therefore decay rapidly back toward the manifold, which is the content of the statement that the positive resource manifold is normally hyperbolic and attracting. Singular-perturbation theory </w:t>
      </w:r>
      <w:r w:rsidRPr="00CE7EB7">
        <w:rPr>
          <w:rFonts w:ascii="Aptos" w:hAnsi="Aptos"/>
          <w:vertAlign w:val="superscript"/>
        </w:rPr>
        <w:t>3, 4</w:t>
      </w:r>
      <w:r w:rsidRPr="00CE7EB7">
        <w:rPr>
          <w:rFonts w:ascii="Aptos" w:hAnsi="Aptos"/>
        </w:rPr>
        <w:t xml:space="preserve"> then gives a finite-time consumer trajectory error of order </w:t>
      </w:r>
      <m:oMath>
        <m:r>
          <w:rPr>
            <w:rFonts w:ascii="Cambria Math" w:hAnsi="Cambria Math"/>
          </w:rPr>
          <m:t>ε</m:t>
        </m:r>
      </m:oMath>
      <w:r w:rsidRPr="00CE7EB7">
        <w:rPr>
          <w:rFonts w:ascii="Cambria Math" w:hAnsi="Cambria Math" w:cs="Cambria Math"/>
        </w:rPr>
        <w:t>⁻</w:t>
      </w:r>
      <w:r w:rsidRPr="00CE7EB7">
        <w:rPr>
          <w:rFonts w:ascii="Aptos" w:hAnsi="Aptos"/>
        </w:rPr>
        <w:t xml:space="preserve">¹ when resources start on the manifold; if they start away from it, an initial fast relaxation occurs first. The approximation is not uniform as a resource approaches depletion, because the restoring rate in Equation S9 also approaches zero. Lotka-Volterra reductions of microbial consumer-resource systems become unreliable for feasibility, stability, and transients when coupling is </w:t>
      </w:r>
      <w:r w:rsidRPr="00CE7EB7">
        <w:rPr>
          <w:rFonts w:ascii="Aptos" w:hAnsi="Aptos"/>
        </w:rPr>
        <w:lastRenderedPageBreak/>
        <w:t xml:space="preserve">strong and timescales are insufficiently separated, particularly with cross-feeding or high niche overlap </w:t>
      </w:r>
      <w:r w:rsidRPr="00CE7EB7">
        <w:rPr>
          <w:rFonts w:ascii="Aptos" w:hAnsi="Aptos"/>
          <w:vertAlign w:val="superscript"/>
        </w:rPr>
        <w:t>5</w:t>
      </w:r>
      <w:r w:rsidRPr="00CE7EB7">
        <w:rPr>
          <w:rFonts w:ascii="Aptos" w:hAnsi="Aptos"/>
        </w:rPr>
        <w:t>. Timescale separation should therefore be estimated or bounded in an application rather than assumed.</w:t>
      </w:r>
    </w:p>
    <w:p w14:paraId="389E1776" w14:textId="77777777" w:rsidR="003310A9" w:rsidRPr="00CE7EB7" w:rsidRDefault="00235995">
      <w:pPr>
        <w:pStyle w:val="Heading2"/>
        <w:spacing w:before="0"/>
        <w:rPr>
          <w:rFonts w:ascii="Aptos" w:hAnsi="Aptos"/>
        </w:rPr>
      </w:pPr>
      <w:r w:rsidRPr="00CE7EB7">
        <w:rPr>
          <w:rFonts w:ascii="Aptos" w:hAnsi="Aptos"/>
          <w:sz w:val="21"/>
        </w:rPr>
        <w:t>Trait factorization and interaction-rank bound</w:t>
      </w:r>
    </w:p>
    <w:p w14:paraId="23F6CD88"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A convenient low-dimensional representation writes the uptake matrix as a product of consumer and resource feature factors.</w:t>
      </w:r>
    </w:p>
    <w:p w14:paraId="4E378EB5" w14:textId="77777777" w:rsidR="0070331D" w:rsidRPr="00CE7EB7" w:rsidRDefault="006D3DA6">
      <w:pPr>
        <w:spacing w:line="480" w:lineRule="auto"/>
        <w:rPr>
          <w:rFonts w:ascii="Aptos" w:hAnsi="Aptos"/>
          <w:color w:val="000000" w:themeColor="text1"/>
        </w:rPr>
      </w:pPr>
      <m:oMath>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F</m:t>
        </m:r>
        <m:sSup>
          <m:sSupPr>
            <m:ctrlPr>
              <w:rPr>
                <w:rFonts w:ascii="Cambria Math" w:hAnsi="Cambria Math"/>
                <w:color w:val="000000" w:themeColor="text1"/>
              </w:rPr>
            </m:ctrlPr>
          </m:sSupPr>
          <m:e>
            <m:r>
              <w:rPr>
                <w:rFonts w:ascii="Cambria Math" w:hAnsi="Cambria Math"/>
                <w:color w:val="000000" w:themeColor="text1"/>
              </w:rPr>
              <m:t>H</m:t>
            </m:r>
          </m:e>
          <m:sup>
            <m:r>
              <m:rPr>
                <m:sty m:val="p"/>
              </m:rPr>
              <w:rPr>
                <w:rFonts w:ascii="Cambria Math" w:hAnsi="Cambria Math"/>
                <w:color w:val="000000" w:themeColor="text1"/>
              </w:rPr>
              <m:t>⊤</m:t>
            </m:r>
          </m:sup>
        </m:sSup>
      </m:oMath>
      <w:r w:rsidRPr="00CE7EB7">
        <w:rPr>
          <w:rFonts w:ascii="Aptos" w:hAnsi="Aptos"/>
          <w:color w:val="000000" w:themeColor="text1"/>
        </w:rPr>
        <w:t xml:space="preserve">   (S10)</w:t>
      </w:r>
    </w:p>
    <w:p w14:paraId="446A875A" w14:textId="77777777" w:rsidR="00B81424" w:rsidRPr="00CE7EB7" w:rsidRDefault="00E54E0B">
      <w:pPr>
        <w:spacing w:line="480" w:lineRule="auto"/>
        <w:rPr>
          <w:rFonts w:ascii="Aptos" w:hAnsi="Aptos"/>
          <w:color w:val="000000" w:themeColor="text1"/>
        </w:rPr>
      </w:pPr>
      <w:r w:rsidRPr="00CE7EB7">
        <w:rPr>
          <w:rFonts w:ascii="Aptos" w:hAnsi="Aptos"/>
        </w:rPr>
        <w:t xml:space="preserve">The matrix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P</m:t>
            </m:r>
          </m:sup>
        </m:sSup>
      </m:oMath>
      <w:r w:rsidRPr="00CE7EB7">
        <w:rPr>
          <w:rFonts w:ascii="Aptos" w:hAnsi="Aptos"/>
        </w:rPr>
        <w:t xml:space="preserve"> contains uptake coefficients for </w:t>
      </w:r>
      <m:oMath>
        <m:r>
          <w:rPr>
            <w:rFonts w:ascii="Cambria Math" w:hAnsi="Cambria Math"/>
          </w:rPr>
          <m:t>S</m:t>
        </m:r>
      </m:oMath>
      <w:r w:rsidRPr="00CE7EB7">
        <w:rPr>
          <w:rFonts w:ascii="Aptos" w:hAnsi="Aptos"/>
        </w:rPr>
        <w:t xml:space="preserve"> consumers (rows) and </w:t>
      </w:r>
      <m:oMath>
        <m:r>
          <w:rPr>
            <w:rFonts w:ascii="Cambria Math" w:hAnsi="Cambria Math"/>
          </w:rPr>
          <m:t>P</m:t>
        </m:r>
      </m:oMath>
      <w:r w:rsidRPr="00CE7EB7">
        <w:rPr>
          <w:rFonts w:ascii="Aptos" w:hAnsi="Aptos"/>
        </w:rPr>
        <w:t xml:space="preserve"> resources (columns). The factors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d</m:t>
            </m:r>
          </m:sup>
        </m:sSup>
      </m:oMath>
      <w:r w:rsidRPr="00CE7EB7">
        <w:rPr>
          <w:rFonts w:ascii="Aptos" w:hAnsi="Aptos"/>
        </w:rPr>
        <w:t xml:space="preserve"> and </w:t>
      </w: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d</m:t>
            </m:r>
          </m:sup>
        </m:sSup>
      </m:oMath>
      <w:r w:rsidRPr="00CE7EB7">
        <w:rPr>
          <w:rFonts w:ascii="Aptos" w:hAnsi="Aptos"/>
        </w:rPr>
        <w:t xml:space="preserve"> encode consumer and resource features, respectively, on </w:t>
      </w:r>
      <m:oMath>
        <m:r>
          <w:rPr>
            <w:rFonts w:ascii="Cambria Math" w:hAnsi="Cambria Math"/>
          </w:rPr>
          <m:t>d</m:t>
        </m:r>
      </m:oMath>
      <w:r w:rsidRPr="00CE7EB7">
        <w:rPr>
          <w:rFonts w:ascii="Aptos" w:hAnsi="Aptos"/>
        </w:rPr>
        <w:t xml:space="preserve"> shared trait coordinates;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rsidRPr="00CE7EB7">
        <w:rPr>
          <w:rFonts w:ascii="Aptos" w:hAnsi="Aptos"/>
        </w:rPr>
        <w:t xml:space="preserve"> is the transpose of </w:t>
      </w:r>
      <m:oMath>
        <m:r>
          <w:rPr>
            <w:rFonts w:ascii="Cambria Math" w:hAnsi="Cambria Math"/>
          </w:rPr>
          <m:t>H</m:t>
        </m:r>
      </m:oMath>
      <w:r w:rsidRPr="00CE7EB7">
        <w:rPr>
          <w:rFonts w:ascii="Aptos" w:hAnsi="Aptos"/>
        </w:rPr>
        <w:t xml:space="preserve">. The decomposition represents uptake through those shared features. Here </w:t>
      </w:r>
      <m:oMath>
        <m:r>
          <w:rPr>
            <w:rFonts w:ascii="Cambria Math" w:hAnsi="Cambria Math"/>
          </w:rPr>
          <m:t>H</m:t>
        </m:r>
      </m:oMath>
      <w:r w:rsidRPr="00CE7EB7">
        <w:rPr>
          <w:rFonts w:ascii="Aptos" w:hAnsi="Aptos"/>
        </w:rPr>
        <w:t xml:space="preserve"> is a trait-factor matrix, not necessarily the factor denoted </w:t>
      </w:r>
      <m:oMath>
        <m:r>
          <w:rPr>
            <w:rFonts w:ascii="Cambria Math" w:hAnsi="Cambria Math"/>
          </w:rPr>
          <m:t>H</m:t>
        </m:r>
      </m:oMath>
      <w:r w:rsidRPr="00CE7EB7">
        <w:rPr>
          <w:rFonts w:ascii="Aptos" w:hAnsi="Aptos"/>
        </w:rPr>
        <w:t xml:space="preserve"> in the later NMF approximation.</w:t>
      </w:r>
    </w:p>
    <w:p w14:paraId="45D75A1E" w14:textId="77777777" w:rsidR="0070331D" w:rsidRPr="00CE7EB7" w:rsidRDefault="006D3DA6">
      <w:pPr>
        <w:spacing w:line="480" w:lineRule="auto"/>
        <w:rPr>
          <w:rFonts w:ascii="Aptos" w:hAnsi="Aptos"/>
          <w:color w:val="000000" w:themeColor="text1"/>
        </w:rPr>
      </w:pPr>
      <m:oMath>
        <m:r>
          <w:rPr>
            <w:rFonts w:ascii="Cambria Math" w:hAnsi="Cambria Math"/>
            <w:color w:val="000000" w:themeColor="text1"/>
          </w:rPr>
          <m:t>A</m:t>
        </m:r>
        <m:r>
          <m:rPr>
            <m:sty m:val="p"/>
          </m:rPr>
          <w:rPr>
            <w:rFonts w:ascii="Cambria Math" w:hAnsi="Cambria Math"/>
            <w:color w:val="000000" w:themeColor="text1"/>
          </w:rPr>
          <m:t>=</m:t>
        </m:r>
        <m:r>
          <w:rPr>
            <w:rFonts w:ascii="Cambria Math" w:hAnsi="Cambria Math"/>
            <w:color w:val="000000" w:themeColor="text1"/>
          </w:rPr>
          <m:t>F</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H</m:t>
                </m:r>
              </m:e>
              <m:sup>
                <m:r>
                  <m:rPr>
                    <m:sty m:val="p"/>
                  </m:rPr>
                  <w:rPr>
                    <w:rFonts w:ascii="Cambria Math" w:hAnsi="Cambria Math"/>
                    <w:color w:val="000000" w:themeColor="text1"/>
                  </w:rPr>
                  <m:t>⊤</m:t>
                </m:r>
              </m:sup>
            </m:sSup>
            <m:r>
              <w:rPr>
                <w:rFonts w:ascii="Cambria Math" w:hAnsi="Cambria Math"/>
                <w:color w:val="000000" w:themeColor="text1"/>
              </w:rPr>
              <m:t>WH</m:t>
            </m:r>
          </m:e>
        </m:d>
        <m:sSup>
          <m:sSupPr>
            <m:ctrlPr>
              <w:rPr>
                <w:rFonts w:ascii="Cambria Math" w:hAnsi="Cambria Math"/>
                <w:color w:val="000000" w:themeColor="text1"/>
              </w:rPr>
            </m:ctrlPr>
          </m:sSupPr>
          <m:e>
            <m:r>
              <w:rPr>
                <w:rFonts w:ascii="Cambria Math" w:hAnsi="Cambria Math"/>
                <w:color w:val="000000" w:themeColor="text1"/>
              </w:rPr>
              <m:t>F</m:t>
            </m:r>
          </m:e>
          <m:sup>
            <m:r>
              <m:rPr>
                <m:sty m:val="p"/>
              </m:rPr>
              <w:rPr>
                <w:rFonts w:ascii="Cambria Math" w:hAnsi="Cambria Math"/>
                <w:color w:val="000000" w:themeColor="text1"/>
              </w:rPr>
              <m:t>⊤</m:t>
            </m:r>
          </m:sup>
        </m:sSup>
      </m:oMath>
      <w:r w:rsidRPr="00CE7EB7">
        <w:rPr>
          <w:rFonts w:ascii="Aptos" w:hAnsi="Aptos"/>
          <w:color w:val="000000" w:themeColor="text1"/>
        </w:rPr>
        <w:t xml:space="preserve">   (S11)</w:t>
      </w:r>
    </w:p>
    <w:p w14:paraId="71A9033E" w14:textId="77777777" w:rsidR="00B81424" w:rsidRPr="00CE7EB7" w:rsidRDefault="00E54E0B">
      <w:pPr>
        <w:spacing w:line="480" w:lineRule="auto"/>
        <w:rPr>
          <w:rFonts w:ascii="Aptos" w:hAnsi="Aptos"/>
          <w:color w:val="000000" w:themeColor="text1"/>
        </w:rPr>
      </w:pPr>
      <w:r w:rsidRPr="00CE7EB7">
        <w:rPr>
          <w:rFonts w:ascii="Aptos" w:hAnsi="Aptos"/>
        </w:rPr>
        <w:t xml:space="preserve">The matrix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S</m:t>
            </m:r>
          </m:sup>
        </m:sSup>
      </m:oMath>
      <w:r w:rsidRPr="00CE7EB7">
        <w:rPr>
          <w:rFonts w:ascii="Aptos" w:hAnsi="Aptos"/>
        </w:rPr>
        <w:t xml:space="preserve"> is the reduced consumer-interaction matrix. The diagonal resource-weight matrix </w:t>
      </w:r>
      <m:oMath>
        <m:r>
          <w:rPr>
            <w:rFonts w:ascii="Cambria Math" w:hAnsi="Cambria Math"/>
          </w:rPr>
          <m:t>W</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P</m:t>
            </m:r>
          </m:sup>
        </m:sSup>
      </m:oMath>
      <w:r w:rsidRPr="00CE7EB7">
        <w:rPr>
          <w:rFonts w:ascii="Aptos" w:hAnsi="Aptos"/>
        </w:rPr>
        <w:t xml:space="preserve"> is positive, and the inner </w:t>
      </w:r>
      <m:oMath>
        <m:r>
          <w:rPr>
            <w:rFonts w:ascii="Cambria Math" w:hAnsi="Cambria Math"/>
          </w:rPr>
          <m:t>d</m:t>
        </m:r>
        <m:r>
          <m:rPr>
            <m:sty m:val="p"/>
          </m:rPr>
          <w:rPr>
            <w:rFonts w:ascii="Cambria Math" w:hAnsi="Cambria Math"/>
          </w:rPr>
          <m:t>×</m:t>
        </m:r>
        <m:r>
          <w:rPr>
            <w:rFonts w:ascii="Cambria Math" w:hAnsi="Cambria Math"/>
          </w:rPr>
          <m:t>d</m:t>
        </m:r>
      </m:oMath>
      <w:r w:rsidRPr="00CE7EB7">
        <w:rPr>
          <w:rFonts w:ascii="Aptos" w:hAnsi="Aptos"/>
        </w:rPr>
        <w:t xml:space="preserve"> matrix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WH</m:t>
        </m:r>
      </m:oMath>
      <w:r w:rsidRPr="00CE7EB7">
        <w:rPr>
          <w:rFonts w:ascii="Aptos" w:hAnsi="Aptos"/>
        </w:rPr>
        <w:t xml:space="preserve"> records the weighted overlaps among resource-feature directions. Multiplication by </w:t>
      </w:r>
      <m:oMath>
        <m:r>
          <w:rPr>
            <w:rFonts w:ascii="Cambria Math" w:hAnsi="Cambria Math"/>
          </w:rPr>
          <m:t>F</m:t>
        </m:r>
      </m:oMath>
      <w:r w:rsidRPr="00CE7EB7">
        <w:rPr>
          <w:rFonts w:ascii="Aptos" w:hAnsi="Aptos"/>
        </w:rPr>
        <w:t xml:space="preserve"> and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rsidRPr="00CE7EB7">
        <w:rPr>
          <w:rFonts w:ascii="Aptos" w:hAnsi="Aptos"/>
        </w:rPr>
        <w:t xml:space="preserve"> transfers those overlaps to consumer interactions. The symbols </w:t>
      </w:r>
      <m:oMath>
        <m:r>
          <w:rPr>
            <w:rFonts w:ascii="Cambria Math" w:hAnsi="Cambria Math"/>
          </w:rPr>
          <m:t>F</m:t>
        </m:r>
      </m:oMath>
      <w:r w:rsidRPr="00CE7EB7">
        <w:rPr>
          <w:rFonts w:ascii="Aptos" w:hAnsi="Aptos"/>
        </w:rPr>
        <w:t xml:space="preserve">, </w:t>
      </w:r>
      <m:oMath>
        <m:r>
          <w:rPr>
            <w:rFonts w:ascii="Cambria Math" w:hAnsi="Cambria Math"/>
          </w:rPr>
          <m:t>H</m:t>
        </m:r>
      </m:oMath>
      <w:r w:rsidRPr="00CE7EB7">
        <w:rPr>
          <w:rFonts w:ascii="Aptos" w:hAnsi="Aptos"/>
        </w:rPr>
        <w:t xml:space="preserve">, and </w:t>
      </w:r>
      <m:oMath>
        <m:r>
          <w:rPr>
            <w:rFonts w:ascii="Cambria Math" w:hAnsi="Cambria Math"/>
          </w:rPr>
          <m:t>W</m:t>
        </m:r>
      </m:oMath>
      <w:r w:rsidRPr="00CE7EB7">
        <w:rPr>
          <w:rFonts w:ascii="Aptos" w:hAnsi="Aptos"/>
        </w:rPr>
        <w:t xml:space="preserve"> refer to the trait factorization in this section, not the later NMF fitting factors.</w:t>
      </w:r>
    </w:p>
    <w:p w14:paraId="7BEE5343"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 xml:space="preserve">In particular, </w:t>
      </w:r>
      <m:oMath>
        <m:r>
          <m:rPr>
            <m:sty m:val="p"/>
          </m:rPr>
          <w:rPr>
            <w:rFonts w:ascii="Cambria Math" w:hAnsi="Cambria Math"/>
            <w:color w:val="000000" w:themeColor="text1"/>
          </w:rPr>
          <m:t>rank</m:t>
        </m:r>
        <m:d>
          <m:dPr>
            <m:ctrlPr>
              <w:rPr>
                <w:rFonts w:ascii="Cambria Math" w:hAnsi="Cambria Math"/>
                <w:color w:val="000000" w:themeColor="text1"/>
              </w:rPr>
            </m:ctrlPr>
          </m:dPr>
          <m:e>
            <m:r>
              <w:rPr>
                <w:rFonts w:ascii="Cambria Math" w:hAnsi="Cambria Math"/>
                <w:color w:val="000000" w:themeColor="text1"/>
              </w:rPr>
              <m:t>A</m:t>
            </m:r>
          </m:e>
        </m:d>
        <m:r>
          <m:rPr>
            <m:sty m:val="p"/>
          </m:rPr>
          <w:rPr>
            <w:rFonts w:ascii="Cambria Math" w:hAnsi="Cambria Math"/>
            <w:color w:val="000000" w:themeColor="text1"/>
          </w:rPr>
          <m:t>≤rank</m:t>
        </m:r>
        <m:d>
          <m:dPr>
            <m:ctrlPr>
              <w:rPr>
                <w:rFonts w:ascii="Cambria Math" w:hAnsi="Cambria Math"/>
                <w:color w:val="000000" w:themeColor="text1"/>
              </w:rPr>
            </m:ctrlPr>
          </m:dPr>
          <m:e>
            <m:r>
              <w:rPr>
                <w:rFonts w:ascii="Cambria Math" w:hAnsi="Cambria Math"/>
                <w:color w:val="000000" w:themeColor="text1"/>
              </w:rPr>
              <m:t>F</m:t>
            </m:r>
          </m:e>
        </m:d>
      </m:oMath>
      <w:r w:rsidRPr="00CE7EB7">
        <w:rPr>
          <w:rFonts w:ascii="Aptos" w:hAnsi="Aptos"/>
          <w:color w:val="000000" w:themeColor="text1"/>
        </w:rPr>
        <w:t>, showing how many chemically distinct resources can collapse onto fewer competitive directions when uptake is feature structured.</w:t>
      </w:r>
    </w:p>
    <w:p w14:paraId="00FD2735" w14:textId="77777777" w:rsidR="003310A9" w:rsidRPr="00CE7EB7" w:rsidRDefault="00235995">
      <w:pPr>
        <w:spacing w:line="480" w:lineRule="auto"/>
        <w:rPr>
          <w:rFonts w:ascii="Aptos" w:hAnsi="Aptos"/>
        </w:rPr>
      </w:pPr>
      <w:r w:rsidRPr="00CE7EB7">
        <w:rPr>
          <w:rFonts w:ascii="Aptos" w:hAnsi="Aptos"/>
          <w:b/>
          <w:bCs/>
        </w:rPr>
        <w:t xml:space="preserve">Theorem 1 (trait-factorized reduction). </w:t>
      </w:r>
      <w:r w:rsidRPr="00CE7EB7">
        <w:rPr>
          <w:rFonts w:ascii="Aptos" w:hAnsi="Aptos"/>
          <w:i/>
          <w:iCs/>
        </w:rPr>
        <w:t>Under the consumer-resource model of Equations S1 and S2, the positive quasi-steady condition of Equation S3, and the factorization of Equation S10, the interaction matrix takes the form of Equation S11, and</w:t>
      </w:r>
    </w:p>
    <w:p w14:paraId="0AD5C518" w14:textId="77777777" w:rsidR="003310A9" w:rsidRPr="00CE7EB7" w:rsidRDefault="00235995">
      <w:pPr>
        <w:spacing w:line="480" w:lineRule="auto"/>
        <w:rPr>
          <w:rFonts w:ascii="Aptos" w:hAnsi="Aptos"/>
        </w:rPr>
      </w:pPr>
      <m:oMath>
        <m:r>
          <m:rPr>
            <m:sty m:val="p"/>
          </m:rPr>
          <w:rPr>
            <w:rFonts w:ascii="Cambria Math" w:hAnsi="Cambria Math"/>
          </w:rPr>
          <m:t xml:space="preserve">rank </m:t>
        </m:r>
        <m:r>
          <w:rPr>
            <w:rFonts w:ascii="Cambria Math" w:hAnsi="Cambria Math"/>
          </w:rPr>
          <m:t>A</m:t>
        </m:r>
        <m:r>
          <m:rPr>
            <m:sty m:val="p"/>
          </m:rPr>
          <w:rPr>
            <w:rFonts w:ascii="Cambria Math" w:hAnsi="Cambria Math"/>
          </w:rPr>
          <m:t xml:space="preserve"> ≤ min</m:t>
        </m:r>
        <m:d>
          <m:dPr>
            <m:ctrlPr>
              <w:rPr>
                <w:rFonts w:ascii="Cambria Math" w:hAnsi="Cambria Math"/>
                <w:i/>
              </w:rPr>
            </m:ctrlPr>
          </m:dPr>
          <m:e>
            <m:r>
              <m:rPr>
                <m:sty m:val="p"/>
              </m:rPr>
              <w:rPr>
                <w:rFonts w:ascii="Cambria Math" w:hAnsi="Cambria Math"/>
              </w:rPr>
              <m:t xml:space="preserve">rank </m:t>
            </m:r>
            <m:r>
              <w:rPr>
                <w:rFonts w:ascii="Cambria Math" w:hAnsi="Cambria Math"/>
              </w:rPr>
              <m:t>F</m:t>
            </m:r>
            <m:r>
              <m:rPr>
                <m:sty m:val="p"/>
              </m:rPr>
              <w:rPr>
                <w:rFonts w:ascii="Cambria Math" w:hAnsi="Cambria Math"/>
              </w:rPr>
              <m:t xml:space="preserve">, rank </m:t>
            </m:r>
            <m:r>
              <w:rPr>
                <w:rFonts w:ascii="Cambria Math" w:hAnsi="Cambria Math"/>
              </w:rPr>
              <m:t>H</m:t>
            </m:r>
            <m:r>
              <m:rPr>
                <m:sty m:val="p"/>
              </m:rPr>
              <w:rPr>
                <w:rFonts w:ascii="Cambria Math" w:hAnsi="Cambria Math"/>
              </w:rPr>
              <m:t xml:space="preserve">, </m:t>
            </m:r>
            <m:r>
              <w:rPr>
                <w:rFonts w:ascii="Cambria Math" w:hAnsi="Cambria Math"/>
              </w:rPr>
              <m:t>P</m:t>
            </m:r>
            <m:r>
              <m:rPr>
                <m:sty m:val="p"/>
              </m:rPr>
              <w:rPr>
                <w:rFonts w:ascii="Cambria Math" w:hAnsi="Cambria Math"/>
              </w:rPr>
              <m:t xml:space="preserve">, </m:t>
            </m:r>
            <m:r>
              <w:rPr>
                <w:rFonts w:ascii="Cambria Math" w:hAnsi="Cambria Math"/>
              </w:rPr>
              <m:t>S</m:t>
            </m:r>
          </m:e>
        </m:d>
      </m:oMath>
      <w:r w:rsidRPr="00CE7EB7">
        <w:rPr>
          <w:rFonts w:ascii="Aptos" w:hAnsi="Aptos"/>
        </w:rPr>
        <w:t xml:space="preserve">   (S12)</w:t>
      </w:r>
    </w:p>
    <w:p w14:paraId="45F6DCF9" w14:textId="77777777" w:rsidR="00B81424" w:rsidRPr="00CE7EB7" w:rsidRDefault="00E54E0B">
      <w:pPr>
        <w:spacing w:line="480" w:lineRule="auto"/>
        <w:rPr>
          <w:rFonts w:ascii="Aptos" w:hAnsi="Aptos"/>
          <w:color w:val="000000" w:themeColor="text1"/>
        </w:rPr>
      </w:pPr>
      <w:r w:rsidRPr="00CE7EB7">
        <w:rPr>
          <w:rFonts w:ascii="Aptos" w:hAnsi="Aptos"/>
        </w:rPr>
        <w:t xml:space="preserve">The operator </w:t>
      </w:r>
      <m:oMath>
        <m:r>
          <m:rPr>
            <m:sty m:val="p"/>
          </m:rPr>
          <w:rPr>
            <w:rFonts w:ascii="Cambria Math" w:hAnsi="Cambria Math"/>
          </w:rPr>
          <m:t>rank</m:t>
        </m:r>
        <m:d>
          <m:dPr>
            <m:ctrlPr>
              <w:rPr>
                <w:rFonts w:ascii="Cambria Math" w:hAnsi="Cambria Math"/>
              </w:rPr>
            </m:ctrlPr>
          </m:dPr>
          <m:e>
            <m:r>
              <m:rPr>
                <m:sty m:val="p"/>
              </m:rPr>
              <w:rPr>
                <w:rFonts w:ascii="Cambria Math" w:hAnsi="Cambria Math"/>
              </w:rPr>
              <m:t>⋅</m:t>
            </m:r>
          </m:e>
        </m:d>
      </m:oMath>
      <w:r w:rsidRPr="00CE7EB7">
        <w:rPr>
          <w:rFonts w:ascii="Aptos" w:hAnsi="Aptos"/>
        </w:rPr>
        <w:t xml:space="preserve"> counts linearly independent matrix directions. In this bound, </w:t>
      </w:r>
      <m:oMath>
        <m:r>
          <w:rPr>
            <w:rFonts w:ascii="Cambria Math" w:hAnsi="Cambria Math"/>
          </w:rPr>
          <m:t>A</m:t>
        </m:r>
      </m:oMath>
      <w:r w:rsidRPr="00CE7EB7">
        <w:rPr>
          <w:rFonts w:ascii="Aptos" w:hAnsi="Aptos"/>
        </w:rPr>
        <w:t xml:space="preserve"> is the consumer-interaction matrix, </w:t>
      </w:r>
      <m:oMath>
        <m:r>
          <w:rPr>
            <w:rFonts w:ascii="Cambria Math" w:hAnsi="Cambria Math"/>
          </w:rPr>
          <m:t>F</m:t>
        </m:r>
      </m:oMath>
      <w:r w:rsidRPr="00CE7EB7">
        <w:rPr>
          <w:rFonts w:ascii="Aptos" w:hAnsi="Aptos"/>
        </w:rPr>
        <w:t xml:space="preserve"> is the consumer-feature factor, </w:t>
      </w:r>
      <m:oMath>
        <m:r>
          <w:rPr>
            <w:rFonts w:ascii="Cambria Math" w:hAnsi="Cambria Math"/>
          </w:rPr>
          <m:t>H</m:t>
        </m:r>
      </m:oMath>
      <w:r w:rsidRPr="00CE7EB7">
        <w:rPr>
          <w:rFonts w:ascii="Aptos" w:hAnsi="Aptos"/>
        </w:rPr>
        <w:t xml:space="preserve"> is the resource-feature factor, </w:t>
      </w:r>
      <m:oMath>
        <m:r>
          <w:rPr>
            <w:rFonts w:ascii="Cambria Math" w:hAnsi="Cambria Math"/>
          </w:rPr>
          <m:t>P</m:t>
        </m:r>
      </m:oMath>
      <w:r w:rsidRPr="00CE7EB7">
        <w:rPr>
          <w:rFonts w:ascii="Aptos" w:hAnsi="Aptos"/>
        </w:rPr>
        <w:t xml:space="preserve"> is the number of resources, and </w:t>
      </w:r>
      <m:oMath>
        <m:r>
          <w:rPr>
            <w:rFonts w:ascii="Cambria Math" w:hAnsi="Cambria Math"/>
          </w:rPr>
          <m:t>S</m:t>
        </m:r>
      </m:oMath>
      <w:r w:rsidRPr="00CE7EB7">
        <w:rPr>
          <w:rFonts w:ascii="Aptos" w:hAnsi="Aptos"/>
        </w:rPr>
        <w:t xml:space="preserve"> is the number of consumers. The result limits interaction rank by the available trait and </w:t>
      </w:r>
      <w:r w:rsidRPr="00CE7EB7">
        <w:rPr>
          <w:rFonts w:ascii="Aptos" w:hAnsi="Aptos"/>
        </w:rPr>
        <w:lastRenderedPageBreak/>
        <w:t>matrix dimensions; it does not assert that the bound is attained or that the factor axes are uniquely identifiable.</w:t>
      </w:r>
    </w:p>
    <w:p w14:paraId="3F2A21A5" w14:textId="77777777" w:rsidR="003310A9" w:rsidRPr="00CE7EB7" w:rsidRDefault="00235995">
      <w:pPr>
        <w:spacing w:line="480" w:lineRule="auto"/>
        <w:rPr>
          <w:rFonts w:ascii="Aptos" w:hAnsi="Aptos"/>
        </w:rPr>
      </w:pPr>
      <w:r w:rsidRPr="00CE7EB7">
        <w:rPr>
          <w:rFonts w:ascii="Aptos" w:hAnsi="Aptos"/>
          <w:b/>
          <w:bCs/>
        </w:rPr>
        <w:t xml:space="preserve">Proof. </w:t>
      </w:r>
      <w:r w:rsidRPr="00CE7EB7">
        <w:rPr>
          <w:rFonts w:ascii="Aptos" w:hAnsi="Aptos"/>
        </w:rPr>
        <w:t>Substituting Equation S10 into Equation S6 gives the interaction matrix of Equation S11. Write the inner factor as the product of the resource-feature matrix, the positive diagonal matrix of resource weights, and the transpose of the resource-feature matrix. Because every resource weight is positive, that inner factor is positive semidefinite, so the interaction matrix is a congruence transform of a positive semidefinite matrix and is itself positive semidefinite. For the rank bound, multiplication cannot increase rank beyond the smallest factor dimension, so the rank is at most the rank of the consumer-feature matrix and at most the rank of the resource-feature matrix; it is also at most the number of resources, since each resource contributes one rank-one term to Equation S6, and at most the number of consumers, since the matrix is of that order. □</w:t>
      </w:r>
    </w:p>
    <w:p w14:paraId="4E599B1F" w14:textId="77777777" w:rsidR="003310A9" w:rsidRPr="00CE7EB7" w:rsidRDefault="00235995">
      <w:pPr>
        <w:spacing w:line="480" w:lineRule="auto"/>
        <w:rPr>
          <w:rFonts w:ascii="Aptos" w:hAnsi="Aptos"/>
        </w:rPr>
      </w:pPr>
      <w:r w:rsidRPr="00CE7EB7">
        <w:rPr>
          <w:rFonts w:ascii="Aptos" w:hAnsi="Aptos"/>
        </w:rPr>
        <w:t>A community can therefore contain hundreds of consumers and hundreds of measured metabolites while its competitive effects occupy only a few independent directions. Three points bear on interpretation. Rank counts independent interaction axes, not resources: chemically distinct resources are redundant for competition when used in correlated ways. Low rank can reflect functional redundancy, because consumers with similar trait rows have similar interaction profiles even when taxonomically distinct. And the low-dimensional subspace is mechanistic only if its axes are anchored biologically, since a latent factor learned from observational data can be rotated or rescaled without changing the fitted uptake matrix. The implication runs one way: trait-factorized consumer-resource dynamics are sufficient to produce low-rank structure, but an observed low-rank quantity does not establish that this mechanism generated it.</w:t>
      </w:r>
    </w:p>
    <w:p w14:paraId="5EA0C87B" w14:textId="77777777" w:rsidR="003310A9" w:rsidRPr="00CE7EB7" w:rsidRDefault="00235995">
      <w:pPr>
        <w:pStyle w:val="Heading2"/>
        <w:spacing w:before="0"/>
        <w:rPr>
          <w:rFonts w:ascii="Aptos" w:hAnsi="Aptos"/>
        </w:rPr>
      </w:pPr>
      <w:r w:rsidRPr="00CE7EB7">
        <w:rPr>
          <w:rFonts w:ascii="Aptos" w:hAnsi="Aptos"/>
          <w:sz w:val="21"/>
        </w:rPr>
        <w:t>S2.1 Resource supply changes growth but not the interaction rank</w:t>
      </w:r>
    </w:p>
    <w:p w14:paraId="5937F6D1" w14:textId="77777777" w:rsidR="003310A9" w:rsidRPr="00CE7EB7" w:rsidRDefault="00235995">
      <w:pPr>
        <w:spacing w:line="480" w:lineRule="auto"/>
        <w:rPr>
          <w:rFonts w:ascii="Aptos" w:hAnsi="Aptos"/>
        </w:rPr>
      </w:pPr>
      <w:r w:rsidRPr="00CE7EB7">
        <w:rPr>
          <w:rFonts w:ascii="Aptos" w:hAnsi="Aptos"/>
        </w:rPr>
        <w:t xml:space="preserve">The reduction separates two roles of resource parameters. Supply enters the reduced growth vector in Equation S5, whereas the interaction matrix in Equation S6 is built only from uptake, resource value, and self-limitation. A change to the supply vector, including one that makes supplies correlated across samples, therefore alters growth rates and equilibrium abundances but leaves the interaction matrix, its rank, and its subspace untouched. Correlated supply is reported as the dominant cause of low effective niche </w:t>
      </w:r>
      <w:r w:rsidRPr="00CE7EB7">
        <w:rPr>
          <w:rFonts w:ascii="Aptos" w:hAnsi="Aptos"/>
        </w:rPr>
        <w:lastRenderedPageBreak/>
        <w:t xml:space="preserve">dimensionality in abundance-based simulations </w:t>
      </w:r>
      <w:r w:rsidRPr="00CE7EB7">
        <w:rPr>
          <w:rFonts w:ascii="Aptos" w:hAnsi="Aptos"/>
          <w:vertAlign w:val="superscript"/>
        </w:rPr>
        <w:t>6</w:t>
      </w:r>
      <w:r w:rsidRPr="00CE7EB7">
        <w:rPr>
          <w:rFonts w:ascii="Aptos" w:hAnsi="Aptos"/>
        </w:rPr>
        <w:t>, while intrinsic metabolic trade-offs constrain uptake and so correspond to the feature structure of Theorem 1. The two dimensions are controlled by different parameters of the same model: one by structure in resource supply, the other by structure in uptake. Both can be small at once, and neither implies the value of the other.</w:t>
      </w:r>
    </w:p>
    <w:p w14:paraId="53048B7D" w14:textId="77777777" w:rsidR="003310A9" w:rsidRPr="00CE7EB7" w:rsidRDefault="00235995">
      <w:pPr>
        <w:pStyle w:val="Heading2"/>
        <w:spacing w:before="0"/>
        <w:rPr>
          <w:rFonts w:ascii="Aptos" w:hAnsi="Aptos"/>
        </w:rPr>
      </w:pPr>
      <w:r w:rsidRPr="00CE7EB7">
        <w:rPr>
          <w:rFonts w:ascii="Aptos" w:hAnsi="Aptos"/>
          <w:sz w:val="21"/>
        </w:rPr>
        <w:t>Identification and loss of absolute scale</w:t>
      </w:r>
    </w:p>
    <w:p w14:paraId="706812E6" w14:textId="77777777" w:rsidR="003310A9" w:rsidRPr="00CE7EB7" w:rsidRDefault="00235995">
      <w:pPr>
        <w:pStyle w:val="Heading2"/>
        <w:spacing w:before="0"/>
        <w:rPr>
          <w:rFonts w:ascii="Aptos" w:hAnsi="Aptos"/>
        </w:rPr>
      </w:pPr>
      <w:r w:rsidRPr="00CE7EB7">
        <w:rPr>
          <w:rFonts w:ascii="Aptos" w:hAnsi="Aptos"/>
          <w:sz w:val="21"/>
        </w:rPr>
        <w:t>S3.1 Equilibrium identification</w:t>
      </w:r>
    </w:p>
    <w:p w14:paraId="63A9EF3F" w14:textId="77777777" w:rsidR="0070331D" w:rsidRPr="00CE7EB7" w:rsidRDefault="002B22C3">
      <w:pPr>
        <w:spacing w:line="480" w:lineRule="auto"/>
        <w:rPr>
          <w:rFonts w:ascii="Aptos" w:hAnsi="Aptos"/>
          <w:color w:val="000000" w:themeColor="text1"/>
        </w:rPr>
      </w:pPr>
      <m:oMath>
        <m:f>
          <m:fPr>
            <m:ctrlPr>
              <w:rPr>
                <w:rFonts w:ascii="Cambria Math" w:hAnsi="Cambria Math"/>
                <w:color w:val="000000" w:themeColor="text1"/>
              </w:rPr>
            </m:ctrlPr>
          </m:fPr>
          <m:num>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α</m:t>
                </m:r>
              </m:sub>
              <m:sup>
                <m:r>
                  <m:rPr>
                    <m:sty m:val="p"/>
                  </m:rPr>
                  <w:rPr>
                    <w:rFonts w:ascii="Cambria Math" w:hAnsi="Cambria Math"/>
                    <w:color w:val="000000" w:themeColor="text1"/>
                  </w:rPr>
                  <m:t>*</m:t>
                </m:r>
              </m:sup>
            </m:sSubSup>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den>
        </m:f>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oMath>
      <w:r w:rsidR="006D3DA6" w:rsidRPr="00CE7EB7">
        <w:rPr>
          <w:rFonts w:ascii="Aptos" w:hAnsi="Aptos"/>
          <w:color w:val="000000" w:themeColor="text1"/>
        </w:rPr>
        <w:t xml:space="preserve">   (S13)</w:t>
      </w:r>
    </w:p>
    <w:p w14:paraId="094C4118" w14:textId="77777777" w:rsidR="00B81424" w:rsidRPr="00CE7EB7" w:rsidRDefault="00E54E0B">
      <w:pPr>
        <w:spacing w:line="480" w:lineRule="auto"/>
        <w:rPr>
          <w:rFonts w:ascii="Aptos" w:hAnsi="Aptos"/>
          <w:color w:val="000000" w:themeColor="text1"/>
        </w:rPr>
      </w:pPr>
      <w:r w:rsidRPr="00CE7EB7">
        <w:rPr>
          <w:rFonts w:ascii="Aptos" w:hAnsi="Aptos"/>
        </w:rPr>
        <w:t xml:space="preserve">The derivative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CE7EB7">
        <w:rPr>
          <w:rFonts w:ascii="Aptos" w:hAnsi="Aptos"/>
        </w:rPr>
        <w:t xml:space="preserve"> is the equilibrium change in resource </w:t>
      </w:r>
      <m:oMath>
        <m:r>
          <w:rPr>
            <w:rFonts w:ascii="Cambria Math" w:hAnsi="Cambria Math"/>
          </w:rPr>
          <m:t>α</m:t>
        </m:r>
      </m:oMath>
      <w:r w:rsidRPr="00CE7EB7">
        <w:rPr>
          <w:rFonts w:ascii="Aptos" w:hAnsi="Aptos"/>
        </w:rPr>
        <w:t xml:space="preserve"> per unit controlled change in absolute consumer abundance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CE7EB7">
        <w:rPr>
          <w:rFonts w:ascii="Aptos" w:hAnsi="Aptos"/>
        </w:rPr>
        <w:t xml:space="preserve">, with resource parameters and other abundances fixed. It equals the negative consumer-specific uptake coefficient </w:t>
      </w:r>
      <m:oMath>
        <m:sSub>
          <m:sSubPr>
            <m:ctrlPr>
              <w:rPr>
                <w:rFonts w:ascii="Cambria Math" w:hAnsi="Cambria Math"/>
              </w:rPr>
            </m:ctrlPr>
          </m:sSubPr>
          <m:e>
            <m:r>
              <w:rPr>
                <w:rFonts w:ascii="Cambria Math" w:hAnsi="Cambria Math"/>
              </w:rPr>
              <m:t>c</m:t>
            </m:r>
          </m:e>
          <m:sub>
            <m:r>
              <w:rPr>
                <w:rFonts w:ascii="Cambria Math" w:hAnsi="Cambria Math"/>
              </w:rPr>
              <m:t>jα</m:t>
            </m:r>
          </m:sub>
        </m:sSub>
      </m:oMath>
      <w:r w:rsidRPr="00CE7EB7">
        <w:rPr>
          <w:rFonts w:ascii="Aptos" w:hAnsi="Aptos"/>
        </w:rPr>
        <w:t xml:space="preserve"> divided by the positive self-limitation coefficient </w:t>
      </w:r>
      <m:oMath>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Its negative sign follows from depletion, independently of the other consumers’ abundances as long as the positive branch remains valid.</w:t>
      </w:r>
    </w:p>
    <w:p w14:paraId="4D69FD33"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Controlled variation in absolute consumer abundance therefore identifies each resource-specific uptake column up to a positive resource-specific scale. If the self-limitation coefficient is known independently, absolute uptake can be recovered within the model.</w:t>
      </w:r>
    </w:p>
    <w:p w14:paraId="7623724E" w14:textId="77777777" w:rsidR="003310A9" w:rsidRPr="00CE7EB7" w:rsidRDefault="00235995">
      <w:pPr>
        <w:spacing w:line="480" w:lineRule="auto"/>
        <w:rPr>
          <w:rFonts w:ascii="Aptos" w:hAnsi="Aptos"/>
        </w:rPr>
      </w:pPr>
      <w:r w:rsidRPr="00CE7EB7">
        <w:rPr>
          <w:rFonts w:ascii="Aptos" w:hAnsi="Aptos"/>
        </w:rPr>
        <w:t>Suppose many equilibrated or near-equilibrated conditions are observed, with measured resource concentrations regressed on measured absolute consumer abundances. Write the conditional mean of resources as an intercept plus a linear term in absolute abundance, where "population regression" means the ideal linear relationship recoverable with unlimited data under the stated assumptions rather than any particular finite-sample estimator.</w:t>
      </w:r>
    </w:p>
    <w:p w14:paraId="48E4FFF0" w14:textId="77777777" w:rsidR="003310A9" w:rsidRPr="00CE7EB7" w:rsidRDefault="00235995">
      <w:pPr>
        <w:spacing w:line="480" w:lineRule="auto"/>
        <w:rPr>
          <w:rFonts w:ascii="Aptos" w:hAnsi="Aptos"/>
        </w:rPr>
      </w:pPr>
      <w:r w:rsidRPr="00CE7EB7">
        <w:rPr>
          <w:rFonts w:ascii="Aptos" w:hAnsi="Aptos"/>
          <w:b/>
          <w:bCs/>
        </w:rPr>
        <w:t xml:space="preserve">Theorem 2 (controlled absolute-scale identification). </w:t>
      </w:r>
      <w:r w:rsidRPr="00CE7EB7">
        <w:rPr>
          <w:rFonts w:ascii="Aptos" w:hAnsi="Aptos"/>
          <w:i/>
          <w:iCs/>
        </w:rPr>
        <w:t>Assume the equilibria share a fixed resource renewal vector, fixed self-limitation, and a fixed uptake matrix; that consumer abundances and resource concentrations are measured on absolute scales; that disturbances have zero conditional mean; and that experimental variation in abundance spans the consumer directions to be estimated. Then the population slope matrix is</w:t>
      </w:r>
    </w:p>
    <w:p w14:paraId="143B7FB8" w14:textId="77777777" w:rsidR="003310A9" w:rsidRPr="00CE7EB7" w:rsidRDefault="00235995">
      <w:pPr>
        <w:spacing w:line="480" w:lineRule="auto"/>
        <w:rPr>
          <w:rFonts w:ascii="Aptos" w:hAnsi="Aptos"/>
        </w:rPr>
      </w:pPr>
      <m:oMath>
        <m:r>
          <w:rPr>
            <w:rFonts w:ascii="Cambria Math" w:hAnsi="Cambria Math"/>
          </w:rPr>
          <w:lastRenderedPageBreak/>
          <m:t>M</m:t>
        </m:r>
        <m:r>
          <m:rPr>
            <m:sty m:val="p"/>
          </m:rPr>
          <w:rPr>
            <w:rFonts w:ascii="Cambria Math" w:hAnsi="Cambria Math"/>
          </w:rPr>
          <m:t xml:space="preserve"> = -</m:t>
        </m:r>
        <m:r>
          <w:rPr>
            <w:rFonts w:ascii="Cambria Math" w:hAnsi="Cambria Math"/>
          </w:rPr>
          <m:t>C</m:t>
        </m:r>
        <m:r>
          <m:rPr>
            <m:sty m:val="p"/>
          </m:rPr>
          <w:rPr>
            <w:rFonts w:ascii="Cambria Math" w:hAnsi="Cambria Math"/>
          </w:rPr>
          <m:t xml:space="preserve"> diag</m:t>
        </m:r>
        <m:d>
          <m:dPr>
            <m:ctrlPr>
              <w:rPr>
                <w:rFonts w:ascii="Cambria Math" w:hAnsi="Cambria Math"/>
                <w:i/>
              </w:rPr>
            </m:ctrlPr>
          </m:dPr>
          <m:e>
            <m:r>
              <w:rPr>
                <w:rFonts w:ascii="Cambria Math" w:hAnsi="Cambria Math"/>
              </w:rPr>
              <m:t>1</m:t>
            </m:r>
            <m:r>
              <m:rPr>
                <m:sty m:val="p"/>
              </m:rPr>
              <w:rPr>
                <w:rFonts w:ascii="Cambria Math" w:hAnsi="Cambria Math"/>
              </w:rPr>
              <m:t>/</m:t>
            </m:r>
            <m:r>
              <w:rPr>
                <w:rFonts w:ascii="Cambria Math" w:hAnsi="Cambria Math"/>
              </w:rPr>
              <m:t>q</m:t>
            </m:r>
          </m:e>
        </m:d>
        <m:r>
          <m:rPr>
            <m:sty m:val="p"/>
          </m:rPr>
          <w:rPr>
            <w:rFonts w:ascii="Cambria Math" w:hAnsi="Cambria Math"/>
          </w:rPr>
          <m:t xml:space="preserve">,    rank </m:t>
        </m:r>
        <m:r>
          <w:rPr>
            <w:rFonts w:ascii="Cambria Math" w:hAnsi="Cambria Math"/>
          </w:rPr>
          <m:t>M</m:t>
        </m:r>
        <m:r>
          <m:rPr>
            <m:sty m:val="p"/>
          </m:rPr>
          <w:rPr>
            <w:rFonts w:ascii="Cambria Math" w:hAnsi="Cambria Math"/>
          </w:rPr>
          <m:t xml:space="preserve"> = rank </m:t>
        </m:r>
        <m:r>
          <w:rPr>
            <w:rFonts w:ascii="Cambria Math" w:hAnsi="Cambria Math"/>
          </w:rPr>
          <m:t>C</m:t>
        </m:r>
      </m:oMath>
      <w:r w:rsidRPr="00CE7EB7">
        <w:rPr>
          <w:rFonts w:ascii="Aptos" w:hAnsi="Aptos"/>
        </w:rPr>
        <w:t xml:space="preserve">   (S14)</w:t>
      </w:r>
    </w:p>
    <w:p w14:paraId="044D5851" w14:textId="77777777" w:rsidR="003310A9" w:rsidRPr="00CE7EB7" w:rsidRDefault="00235995">
      <w:pPr>
        <w:spacing w:line="480" w:lineRule="auto"/>
        <w:rPr>
          <w:rFonts w:ascii="Aptos" w:hAnsi="Aptos"/>
        </w:rPr>
      </w:pPr>
      <w:r>
        <w:t>Consequently, the uptake matrix is identified up to a positive, resource-specific self-limitation scale, and the population slope matrix has the same rank as the uptake matrix.</w:t>
      </w:r>
    </w:p>
    <w:p w14:paraId="499F6E0A" w14:textId="77777777" w:rsidR="00B81424" w:rsidRPr="00CE7EB7" w:rsidRDefault="00E54E0B">
      <w:pPr>
        <w:spacing w:line="480" w:lineRule="auto"/>
        <w:rPr>
          <w:rFonts w:ascii="Aptos" w:hAnsi="Aptos"/>
          <w:color w:val="000000" w:themeColor="text1"/>
        </w:rPr>
      </w:pPr>
      <w:r w:rsidRPr="00CE7EB7">
        <w:rPr>
          <w:rFonts w:ascii="Aptos" w:hAnsi="Aptos"/>
        </w:rPr>
        <w:t xml:space="preserve">The slope matrix </w:t>
      </w:r>
      <m:oMath>
        <m:r>
          <w:rPr>
            <w:rFonts w:ascii="Cambria Math" w:hAnsi="Cambria Math"/>
          </w:rPr>
          <m:t>M</m:t>
        </m:r>
      </m:oMath>
      <w:r w:rsidRPr="00CE7EB7">
        <w:rPr>
          <w:rFonts w:ascii="Aptos" w:hAnsi="Aptos"/>
        </w:rPr>
        <w:t xml:space="preserve"> has consumer-by-resource entries </w:t>
      </w:r>
      <m:oMath>
        <m:sSub>
          <m:sSubPr>
            <m:ctrlPr>
              <w:rPr>
                <w:rFonts w:ascii="Cambria Math" w:hAnsi="Cambria Math"/>
              </w:rPr>
            </m:ctrlPr>
          </m:sSubPr>
          <m:e>
            <m:r>
              <w:rPr>
                <w:rFonts w:ascii="Cambria Math" w:hAnsi="Cambria Math"/>
              </w:rPr>
              <m:t>M</m:t>
            </m:r>
          </m:e>
          <m:sub>
            <m:r>
              <w:rPr>
                <w:rFonts w:ascii="Cambria Math" w:hAnsi="Cambria Math"/>
              </w:rPr>
              <m:t>jα</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CE7EB7">
        <w:rPr>
          <w:rFonts w:ascii="Aptos" w:hAnsi="Aptos"/>
        </w:rPr>
        <w:t xml:space="preserve">, so </w:t>
      </w:r>
      <m:oMath>
        <m:r>
          <w:rPr>
            <w:rFonts w:ascii="Cambria Math" w:hAnsi="Cambria Math"/>
          </w:rPr>
          <m:t>M</m:t>
        </m:r>
      </m:oMath>
      <w:r w:rsidRPr="00CE7EB7">
        <w:rPr>
          <w:rFonts w:ascii="Aptos" w:hAnsi="Aptos"/>
        </w:rPr>
        <w:t xml:space="preserve"> and the uptake matrix </w:t>
      </w:r>
      <m:oMath>
        <m:r>
          <w:rPr>
            <w:rFonts w:ascii="Cambria Math" w:hAnsi="Cambria Math"/>
          </w:rPr>
          <m:t>C</m:t>
        </m:r>
      </m:oMath>
      <w:r w:rsidRPr="00CE7EB7">
        <w:rPr>
          <w:rFonts w:ascii="Aptos" w:hAnsi="Aptos"/>
        </w:rPr>
        <w:t xml:space="preserve"> have the same </w:t>
      </w:r>
      <m:oMath>
        <m:r>
          <w:rPr>
            <w:rFonts w:ascii="Cambria Math" w:hAnsi="Cambria Math"/>
          </w:rPr>
          <m:t>S</m:t>
        </m:r>
        <m:r>
          <m:rPr>
            <m:sty m:val="p"/>
          </m:rPr>
          <w:rPr>
            <w:rFonts w:ascii="Cambria Math" w:hAnsi="Cambria Math"/>
          </w:rPr>
          <m:t>×</m:t>
        </m:r>
        <m:r>
          <w:rPr>
            <w:rFonts w:ascii="Cambria Math" w:hAnsi="Cambria Math"/>
          </w:rPr>
          <m:t>P</m:t>
        </m:r>
      </m:oMath>
      <w:r w:rsidRPr="00CE7EB7">
        <w:rPr>
          <w:rFonts w:ascii="Aptos" w:hAnsi="Aptos"/>
        </w:rPr>
        <w:t xml:space="preserve"> orientation. The diagonal matrix </w:t>
      </w:r>
      <m:oMath>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e>
        </m:d>
      </m:oMath>
      <w:r w:rsidRPr="00CE7EB7">
        <w:rPr>
          <w:rFonts w:ascii="Aptos" w:hAnsi="Aptos"/>
        </w:rPr>
        <w:t xml:space="preserve"> rescales each resource column by its inverse self-limitation coefficient. Since every </w:t>
      </w:r>
      <m:oMath>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xml:space="preserve"> is positive, that diagonal scaling is invertible, and the population slope and uptake matrices have identical rank. This identification requires absolute abundance, absolute resource measurement, fixed resource parameters, and sufficiently informative imposed abundance variation.</w:t>
      </w:r>
    </w:p>
    <w:p w14:paraId="2641D75F" w14:textId="77777777" w:rsidR="003310A9" w:rsidRPr="00CE7EB7" w:rsidRDefault="00235995">
      <w:pPr>
        <w:spacing w:line="480" w:lineRule="auto"/>
        <w:rPr>
          <w:rFonts w:ascii="Aptos" w:hAnsi="Aptos"/>
        </w:rPr>
      </w:pPr>
      <w:r w:rsidRPr="00CE7EB7">
        <w:rPr>
          <w:rFonts w:ascii="Aptos" w:hAnsi="Aptos"/>
          <w:b/>
          <w:bCs/>
        </w:rPr>
        <w:t xml:space="preserve">Proof. </w:t>
      </w:r>
      <w:r w:rsidRPr="00CE7EB7">
        <w:rPr>
          <w:rFonts w:ascii="Aptos" w:hAnsi="Aptos"/>
        </w:rPr>
        <w:t>Equation S3 expresses each equilibrium concentration as a resource-specific intercept minus a term linear in absolute consumer abundance, with coefficient given by Equation S13. Under the conditional-mean and design assumptions, the population slope is exactly that coefficient. Multiplication by an invertible positive diagonal matrix rescales each resource column but does not change matrix rank. □</w:t>
      </w:r>
    </w:p>
    <w:p w14:paraId="46F016FA" w14:textId="77777777" w:rsidR="003310A9" w:rsidRPr="00CE7EB7" w:rsidRDefault="00235995">
      <w:pPr>
        <w:spacing w:line="480" w:lineRule="auto"/>
        <w:rPr>
          <w:rFonts w:ascii="Aptos" w:hAnsi="Aptos"/>
        </w:rPr>
      </w:pPr>
      <w:r w:rsidRPr="00CE7EB7">
        <w:rPr>
          <w:rFonts w:ascii="Aptos" w:hAnsi="Aptos"/>
        </w:rPr>
        <w:t xml:space="preserve">The corresponding experiment perturbs the abundance of one or more consumers, allows resources to relax toward equilibrium, and measures how each concentration changes. If self-limitation is independently known, uptake itself is recoverable; if not, each resource column is known only up to positive scale, but the rank and the subspace are preserved. The assumptions are restrictive. Supply and self-limitation must be fixed or measured across conditions, total consumer abundance must be retained, variation in abundance should be exogenous or imposed rather than generated by the same unmeasured factors that alter supply, and the system must be close to the positive quasi-steady regime. If metabolites can be both consumed and secreted, net concentration changes cannot by themselves be read as uptake, and isotope tracing, defined media, or other mass-balance measurements are needed. Absolute-scale equilibrium perturbation is not the only route to mechanistic information: longitudinal and stochastic methods constrain interactions under different assumptions and target different estimands </w:t>
      </w:r>
      <w:r w:rsidRPr="00CE7EB7">
        <w:rPr>
          <w:rFonts w:ascii="Aptos" w:hAnsi="Aptos"/>
          <w:vertAlign w:val="superscript"/>
        </w:rPr>
        <w:t>7, 8</w:t>
      </w:r>
      <w:r w:rsidRPr="00CE7EB7">
        <w:rPr>
          <w:rFonts w:ascii="Aptos" w:hAnsi="Aptos"/>
        </w:rPr>
        <w:t>.</w:t>
      </w:r>
    </w:p>
    <w:p w14:paraId="03AE48E5" w14:textId="77777777" w:rsidR="003310A9" w:rsidRPr="00CE7EB7" w:rsidRDefault="00235995">
      <w:pPr>
        <w:pStyle w:val="Heading2"/>
        <w:spacing w:before="0"/>
        <w:rPr>
          <w:rFonts w:ascii="Aptos" w:hAnsi="Aptos"/>
        </w:rPr>
      </w:pPr>
      <w:r w:rsidRPr="00CE7EB7">
        <w:rPr>
          <w:rFonts w:ascii="Aptos" w:hAnsi="Aptos"/>
          <w:sz w:val="21"/>
        </w:rPr>
        <w:t>S3.2 Compositional data</w:t>
      </w:r>
    </w:p>
    <w:p w14:paraId="502F2506" w14:textId="77777777" w:rsidR="0070331D" w:rsidRPr="00CE7EB7" w:rsidRDefault="002B22C3">
      <w:pPr>
        <w:spacing w:line="480" w:lineRule="auto"/>
        <w:rPr>
          <w:rFonts w:ascii="Aptos" w:hAnsi="Apto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r>
          <m:rPr>
            <m:sty m:val="p"/>
          </m:rPr>
          <w:rPr>
            <w:rFonts w:ascii="Cambria Math" w:hAnsi="Cambria Math"/>
            <w:color w:val="000000" w:themeColor="text1"/>
          </w:rPr>
          <m:t>=</m:t>
        </m:r>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oMath>
      <w:r w:rsidR="006D3DA6" w:rsidRPr="00CE7EB7">
        <w:rPr>
          <w:rFonts w:ascii="Aptos" w:hAnsi="Aptos"/>
          <w:color w:val="000000" w:themeColor="text1"/>
        </w:rPr>
        <w:t xml:space="preserve">   (S15)</w:t>
      </w:r>
    </w:p>
    <w:p w14:paraId="3BAC3AFC" w14:textId="77777777" w:rsidR="00B81424" w:rsidRPr="00CE7EB7" w:rsidRDefault="00E54E0B">
      <w:pPr>
        <w:spacing w:line="480" w:lineRule="auto"/>
        <w:rPr>
          <w:rFonts w:ascii="Aptos" w:hAnsi="Aptos"/>
          <w:color w:val="000000" w:themeColor="text1"/>
        </w:rPr>
      </w:pPr>
      <w:r w:rsidRPr="00CE7EB7">
        <w:rPr>
          <w:rFonts w:ascii="Aptos" w:hAnsi="Aptos"/>
        </w:rPr>
        <w:lastRenderedPageBreak/>
        <w:t xml:space="preserve">The total abundance </w:t>
      </w:r>
      <m:oMath>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oMath>
      <w:r w:rsidRPr="00CE7EB7">
        <w:rPr>
          <w:rFonts w:ascii="Aptos" w:hAnsi="Aptos"/>
        </w:rPr>
        <w:t xml:space="preserve"> is the absolute microbial load and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T</m:t>
        </m:r>
      </m:oMath>
      <w:r w:rsidRPr="00CE7EB7">
        <w:rPr>
          <w:rFonts w:ascii="Aptos" w:hAnsi="Aptos"/>
        </w:rPr>
        <w:t xml:space="preserve"> is the relative abundance of consumer </w:t>
      </w:r>
      <m:oMath>
        <m:r>
          <w:rPr>
            <w:rFonts w:ascii="Cambria Math" w:hAnsi="Cambria Math"/>
          </w:rPr>
          <m:t>j</m:t>
        </m:r>
      </m:oMath>
      <w:r w:rsidRPr="00CE7EB7">
        <w:rPr>
          <w:rFonts w:ascii="Aptos" w:hAnsi="Aptos"/>
        </w:rPr>
        <w:t xml:space="preserve"> when </w:t>
      </w:r>
      <m:oMath>
        <m:r>
          <w:rPr>
            <w:rFonts w:ascii="Cambria Math" w:hAnsi="Cambria Math"/>
          </w:rPr>
          <m:t>T</m:t>
        </m:r>
        <m:r>
          <m:rPr>
            <m:sty m:val="p"/>
          </m:rPr>
          <w:rPr>
            <w:rFonts w:ascii="Cambria Math" w:hAnsi="Cambria Math"/>
          </w:rPr>
          <m:t>&gt;</m:t>
        </m:r>
        <m:r>
          <w:rPr>
            <w:rFonts w:ascii="Cambria Math" w:hAnsi="Cambria Math"/>
          </w:rPr>
          <m:t>0</m:t>
        </m:r>
      </m:oMath>
      <w:r w:rsidRPr="00CE7EB7">
        <w:rPr>
          <w:rFonts w:ascii="Aptos" w:hAnsi="Aptos"/>
        </w:rPr>
        <w:t xml:space="preserve">. Each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E7EB7">
        <w:rPr>
          <w:rFonts w:ascii="Aptos" w:hAnsi="Aptos"/>
        </w:rPr>
        <w:t xml:space="preserve"> is nonnegative and the proportions sum to one. This decomposition separates the scale of the community from its composition; compositional sequencing supplies the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E7EB7">
        <w:rPr>
          <w:rFonts w:ascii="Aptos" w:hAnsi="Aptos"/>
        </w:rPr>
        <w:t xml:space="preserve"> but generally not </w:t>
      </w:r>
      <m:oMath>
        <m:r>
          <w:rPr>
            <w:rFonts w:ascii="Cambria Math" w:hAnsi="Cambria Math"/>
          </w:rPr>
          <m:t>T</m:t>
        </m:r>
      </m:oMath>
      <w:r w:rsidRPr="00CE7EB7">
        <w:rPr>
          <w:rFonts w:ascii="Aptos" w:hAnsi="Aptos"/>
        </w:rPr>
        <w:t>.</w:t>
      </w:r>
    </w:p>
    <w:p w14:paraId="595FAD49" w14:textId="77777777" w:rsidR="0070331D" w:rsidRPr="00CE7EB7" w:rsidRDefault="002B22C3">
      <w:pPr>
        <w:spacing w:line="480" w:lineRule="auto"/>
        <w:rPr>
          <w:rFonts w:ascii="Aptos" w:hAnsi="Aptos"/>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α</m:t>
            </m:r>
          </m:sub>
          <m:sup>
            <m:r>
              <m:rPr>
                <m:sty m:val="p"/>
              </m:rPr>
              <w:rPr>
                <w:rFonts w:ascii="Cambria Math" w:hAnsi="Cambria Math"/>
                <w:color w:val="000000" w:themeColor="text1"/>
              </w:rPr>
              <m:t>*</m:t>
            </m:r>
          </m:sup>
        </m:sSubSup>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α</m:t>
                </m:r>
              </m:sub>
            </m:sSub>
            <m:r>
              <m:rPr>
                <m:sty m:val="p"/>
              </m:rPr>
              <w:rPr>
                <w:rFonts w:ascii="Cambria Math" w:hAnsi="Cambria Math"/>
                <w:color w:val="000000" w:themeColor="text1"/>
              </w:rPr>
              <m:t>-</m:t>
            </m:r>
            <m:r>
              <w:rPr>
                <w:rFonts w:ascii="Cambria Math" w:hAnsi="Cambria Math"/>
                <w:color w:val="000000" w:themeColor="text1"/>
              </w:rPr>
              <m:t>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jα</m:t>
                    </m:r>
                  </m:sub>
                </m:sSub>
              </m:e>
            </m:nary>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sub>
            </m:sSub>
          </m:den>
        </m:f>
      </m:oMath>
      <w:r w:rsidR="006D3DA6" w:rsidRPr="00CE7EB7">
        <w:rPr>
          <w:rFonts w:ascii="Aptos" w:hAnsi="Aptos"/>
          <w:color w:val="000000" w:themeColor="text1"/>
        </w:rPr>
        <w:t xml:space="preserve">   (S16)</w:t>
      </w:r>
    </w:p>
    <w:p w14:paraId="4687BE42" w14:textId="77777777" w:rsidR="00B81424" w:rsidRPr="00CE7EB7" w:rsidRDefault="00E54E0B">
      <w:pPr>
        <w:spacing w:line="480" w:lineRule="auto"/>
        <w:rPr>
          <w:rFonts w:ascii="Aptos" w:hAnsi="Aptos"/>
          <w:color w:val="000000" w:themeColor="text1"/>
        </w:rPr>
      </w:pPr>
      <w:r w:rsidRPr="00CE7EB7">
        <w:rPr>
          <w:rFonts w:ascii="Aptos" w:hAnsi="Aptos"/>
        </w:rPr>
        <w:t xml:space="preserve">The equilibrium concentration </w:t>
      </w:r>
      <m:oMath>
        <m:sSubSup>
          <m:sSubSupPr>
            <m:ctrlPr>
              <w:rPr>
                <w:rFonts w:ascii="Cambria Math" w:hAnsi="Cambria Math"/>
              </w:rPr>
            </m:ctrlPr>
          </m:sSubSupPr>
          <m:e>
            <m:r>
              <w:rPr>
                <w:rFonts w:ascii="Cambria Math" w:hAnsi="Cambria Math"/>
              </w:rPr>
              <m:t>R</m:t>
            </m:r>
          </m:e>
          <m:sub>
            <m:r>
              <w:rPr>
                <w:rFonts w:ascii="Cambria Math" w:hAnsi="Cambria Math"/>
              </w:rPr>
              <m:t>α</m:t>
            </m:r>
          </m:sub>
          <m:sup>
            <m:r>
              <m:rPr>
                <m:sty m:val="p"/>
              </m:rPr>
              <w:rPr>
                <w:rFonts w:ascii="Cambria Math" w:hAnsi="Cambria Math"/>
              </w:rPr>
              <m:t>*</m:t>
            </m:r>
          </m:sup>
        </m:sSubSup>
      </m:oMath>
      <w:r w:rsidRPr="00CE7EB7">
        <w:rPr>
          <w:rFonts w:ascii="Aptos" w:hAnsi="Aptos"/>
        </w:rPr>
        <w:t xml:space="preserve"> depends on supply </w:t>
      </w:r>
      <m:oMath>
        <m:sSub>
          <m:sSubPr>
            <m:ctrlPr>
              <w:rPr>
                <w:rFonts w:ascii="Cambria Math" w:hAnsi="Cambria Math"/>
              </w:rPr>
            </m:ctrlPr>
          </m:sSubPr>
          <m:e>
            <m:r>
              <w:rPr>
                <w:rFonts w:ascii="Cambria Math" w:hAnsi="Cambria Math"/>
              </w:rPr>
              <m:t>r</m:t>
            </m:r>
          </m:e>
          <m:sub>
            <m:r>
              <w:rPr>
                <w:rFonts w:ascii="Cambria Math" w:hAnsi="Cambria Math"/>
              </w:rPr>
              <m:t>α</m:t>
            </m:r>
          </m:sub>
        </m:sSub>
      </m:oMath>
      <w:r w:rsidRPr="00CE7EB7">
        <w:rPr>
          <w:rFonts w:ascii="Aptos" w:hAnsi="Aptos"/>
        </w:rPr>
        <w:t xml:space="preserve">, self-limitation </w:t>
      </w:r>
      <m:oMath>
        <m:sSub>
          <m:sSubPr>
            <m:ctrlPr>
              <w:rPr>
                <w:rFonts w:ascii="Cambria Math" w:hAnsi="Cambria Math"/>
              </w:rPr>
            </m:ctrlPr>
          </m:sSubPr>
          <m:e>
            <m:r>
              <w:rPr>
                <w:rFonts w:ascii="Cambria Math" w:hAnsi="Cambria Math"/>
              </w:rPr>
              <m:t>q</m:t>
            </m:r>
          </m:e>
          <m:sub>
            <m:r>
              <w:rPr>
                <w:rFonts w:ascii="Cambria Math" w:hAnsi="Cambria Math"/>
              </w:rPr>
              <m:t>α</m:t>
            </m:r>
          </m:sub>
        </m:sSub>
      </m:oMath>
      <w:r w:rsidRPr="00CE7EB7">
        <w:rPr>
          <w:rFonts w:ascii="Aptos" w:hAnsi="Aptos"/>
        </w:rPr>
        <w:t xml:space="preserve">, and total resource depletion </w:t>
      </w:r>
      <m:oMath>
        <m:r>
          <w:rPr>
            <w:rFonts w:ascii="Cambria Math" w:hAnsi="Cambria Math"/>
          </w:rPr>
          <m:t>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jα</m:t>
                </m:r>
              </m:sub>
            </m:sSub>
          </m:e>
        </m:nary>
        <m:sSub>
          <m:sSubPr>
            <m:ctrlPr>
              <w:rPr>
                <w:rFonts w:ascii="Cambria Math" w:hAnsi="Cambria Math"/>
              </w:rPr>
            </m:ctrlPr>
          </m:sSubPr>
          <m:e>
            <m:r>
              <w:rPr>
                <w:rFonts w:ascii="Cambria Math" w:hAnsi="Cambria Math"/>
              </w:rPr>
              <m:t>p</m:t>
            </m:r>
          </m:e>
          <m:sub>
            <m:r>
              <w:rPr>
                <w:rFonts w:ascii="Cambria Math" w:hAnsi="Cambria Math"/>
              </w:rPr>
              <m:t>j</m:t>
            </m:r>
          </m:sub>
        </m:sSub>
      </m:oMath>
      <w:r w:rsidRPr="00CE7EB7">
        <w:rPr>
          <w:rFonts w:ascii="Aptos" w:hAnsi="Aptos"/>
        </w:rPr>
        <w:t xml:space="preserve">. Here </w:t>
      </w:r>
      <m:oMath>
        <m:sSub>
          <m:sSubPr>
            <m:ctrlPr>
              <w:rPr>
                <w:rFonts w:ascii="Cambria Math" w:hAnsi="Cambria Math"/>
              </w:rPr>
            </m:ctrlPr>
          </m:sSubPr>
          <m:e>
            <m:r>
              <w:rPr>
                <w:rFonts w:ascii="Cambria Math" w:hAnsi="Cambria Math"/>
              </w:rPr>
              <m:t>c</m:t>
            </m:r>
          </m:e>
          <m:sub>
            <m:r>
              <w:rPr>
                <w:rFonts w:ascii="Cambria Math" w:hAnsi="Cambria Math"/>
              </w:rPr>
              <m:t>jα</m:t>
            </m:r>
          </m:sub>
        </m:sSub>
      </m:oMath>
      <w:r w:rsidRPr="00CE7EB7">
        <w:rPr>
          <w:rFonts w:ascii="Aptos" w:hAnsi="Aptos"/>
        </w:rPr>
        <w:t xml:space="preserve"> is the uptake coefficient for consumer </w:t>
      </w:r>
      <m:oMath>
        <m:r>
          <w:rPr>
            <w:rFonts w:ascii="Cambria Math" w:hAnsi="Cambria Math"/>
          </w:rPr>
          <m:t>j</m:t>
        </m:r>
      </m:oMath>
      <w:r w:rsidRPr="00CE7EB7">
        <w:rPr>
          <w:rFonts w:ascii="Aptos" w:hAnsi="Aptos"/>
        </w:rPr>
        <w:t xml:space="preserve"> and resource </w:t>
      </w:r>
      <m:oMath>
        <m:r>
          <w:rPr>
            <w:rFonts w:ascii="Cambria Math" w:hAnsi="Cambria Math"/>
          </w:rPr>
          <m:t>α</m:t>
        </m:r>
      </m:oMath>
      <w:r w:rsidRPr="00CE7EB7">
        <w:rPr>
          <w:rFonts w:ascii="Aptos" w:hAnsi="Aptos"/>
        </w:rP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E7EB7">
        <w:rPr>
          <w:rFonts w:ascii="Aptos" w:hAnsi="Aptos"/>
        </w:rPr>
        <w:t xml:space="preserve"> is its relative abundance, and </w:t>
      </w:r>
      <m:oMath>
        <m:r>
          <w:rPr>
            <w:rFonts w:ascii="Cambria Math" w:hAnsi="Cambria Math"/>
          </w:rPr>
          <m:t>T</m:t>
        </m:r>
      </m:oMath>
      <w:r w:rsidRPr="00CE7EB7">
        <w:rPr>
          <w:rFonts w:ascii="Aptos" w:hAnsi="Aptos"/>
        </w:rPr>
        <w:t xml:space="preserve"> is the unobserved or separately measured total load. Even with exact compositional proportions, the depletion term cannot be evaluated without its absolute scale.</w:t>
      </w:r>
      <w:r>
        <w:rPr>
          <w:rFonts w:ascii="Aptos" w:hAnsi="Aptos"/>
        </w:rPr>
        <w:t xml:space="preserve"> This limitation reflects the statistical properties of compositional data described by Aitchison and Gloor et al.</w:t>
      </w:r>
      <w:r>
        <w:rPr>
          <w:rFonts w:ascii="Aptos" w:hAnsi="Aptos"/>
          <w:vertAlign w:val="superscript"/>
        </w:rPr>
        <w:t>9, 10</w:t>
      </w:r>
    </w:p>
    <w:p w14:paraId="609AC3AA"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Relative composition does not determine total load. Because total load multiplies the complete consumption term in Equation S16, cross-sectional relative abundance cannot identify the equilibrium slope without additional absolute-scale information.</w:t>
      </w:r>
    </w:p>
    <w:p w14:paraId="2C513ADC" w14:textId="77777777" w:rsidR="003310A9" w:rsidRPr="00CE7EB7" w:rsidRDefault="00235995">
      <w:pPr>
        <w:pStyle w:val="Heading2"/>
        <w:spacing w:before="0"/>
        <w:rPr>
          <w:rFonts w:ascii="Aptos" w:hAnsi="Aptos"/>
        </w:rPr>
      </w:pPr>
      <w:r w:rsidRPr="00CE7EB7">
        <w:rPr>
          <w:rFonts w:ascii="Aptos" w:hAnsi="Aptos"/>
          <w:sz w:val="21"/>
        </w:rPr>
        <w:t>S3.3 Two-consumer, one-resource counterexample</w:t>
      </w:r>
    </w:p>
    <w:p w14:paraId="434BC531" w14:textId="77777777" w:rsidR="003310A9" w:rsidRPr="00CE7EB7" w:rsidRDefault="00235995">
      <w:pPr>
        <w:spacing w:line="480" w:lineRule="auto"/>
        <w:rPr>
          <w:rFonts w:ascii="Aptos" w:hAnsi="Aptos"/>
        </w:rPr>
      </w:pPr>
      <w:r w:rsidRPr="00CE7EB7">
        <w:rPr>
          <w:rFonts w:ascii="Aptos" w:hAnsi="Aptos"/>
        </w:rPr>
        <w:t>With one resource and two consumers, any observed composition and any positive total load correspond to an absolute abundance vector, and all such vectors share the same composition. Yet the equilibrium concentration is</w:t>
      </w:r>
    </w:p>
    <w:p w14:paraId="4CD8B647" w14:textId="77777777" w:rsidR="003310A9" w:rsidRPr="00CE7EB7" w:rsidRDefault="002B22C3">
      <w:pPr>
        <w:spacing w:line="480" w:lineRule="auto"/>
        <w:rPr>
          <w:rFonts w:ascii="Aptos" w:hAnsi="Aptos"/>
        </w:rPr>
      </w:pPr>
      <m:oMath>
        <m:sSup>
          <m:sSupPr>
            <m:ctrlPr>
              <w:rPr>
                <w:rFonts w:ascii="Cambria Math" w:hAnsi="Cambria Math"/>
                <w:i/>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xml:space="preserve"> = </m:t>
        </m:r>
        <m:f>
          <m:fPr>
            <m:ctrlPr>
              <w:rPr>
                <w:rFonts w:ascii="Cambria Math" w:hAnsi="Cambria Math"/>
                <w:i/>
              </w:rPr>
            </m:ctrlPr>
          </m:fPr>
          <m:num>
            <m:r>
              <w:rPr>
                <w:rFonts w:ascii="Cambria Math" w:hAnsi="Cambria Math"/>
              </w:rPr>
              <m:t>r</m:t>
            </m:r>
          </m:num>
          <m:den>
            <m:r>
              <w:rPr>
                <w:rFonts w:ascii="Cambria Math" w:hAnsi="Cambria Math"/>
              </w:rPr>
              <m:t>q</m:t>
            </m:r>
          </m:den>
        </m:f>
        <m:r>
          <m:rPr>
            <m:sty m:val="p"/>
          </m:rPr>
          <w:rPr>
            <w:rFonts w:ascii="Cambria Math" w:hAnsi="Cambria Math"/>
          </w:rPr>
          <m:t xml:space="preserve"> - </m:t>
        </m:r>
        <m:f>
          <m:fPr>
            <m:ctrlPr>
              <w:rPr>
                <w:rFonts w:ascii="Cambria Math" w:hAnsi="Cambria Math"/>
                <w:i/>
              </w:rPr>
            </m:ctrlPr>
          </m:fPr>
          <m:num>
            <m:r>
              <w:rPr>
                <w:rFonts w:ascii="Cambria Math" w:hAnsi="Cambria Math"/>
              </w:rPr>
              <m:t>T</m:t>
            </m:r>
          </m:num>
          <m:den>
            <m:r>
              <w:rPr>
                <w:rFonts w:ascii="Cambria Math" w:hAnsi="Cambria Math"/>
              </w:rPr>
              <m:t>q</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c</m:t>
                    </m:r>
                  </m:e>
                  <m:sub>
                    <m:r>
                      <m:rPr>
                        <m:sty m:val="p"/>
                      </m:rPr>
                      <w:rPr>
                        <w:rFonts w:ascii="Cambria Math" w:hAnsi="Cambria Math"/>
                      </w:rPr>
                      <m:t>2</m:t>
                    </m:r>
                  </m:sub>
                </m:sSub>
              </m:e>
            </m:d>
            <m:sSub>
              <m:sSubPr>
                <m:ctrlPr>
                  <w:rPr>
                    <w:rFonts w:ascii="Cambria Math" w:hAnsi="Cambria Math"/>
                    <w:i/>
                  </w:rPr>
                </m:ctrlPr>
              </m:sSubPr>
              <m:e>
                <m:r>
                  <w:rPr>
                    <w:rFonts w:ascii="Cambria Math" w:hAnsi="Cambria Math"/>
                  </w:rPr>
                  <m:t>p</m:t>
                </m:r>
              </m:e>
              <m:sub>
                <m:r>
                  <m:rPr>
                    <m:sty m:val="p"/>
                  </m:rPr>
                  <w:rPr>
                    <w:rFonts w:ascii="Cambria Math" w:hAnsi="Cambria Math"/>
                  </w:rPr>
                  <m:t>1</m:t>
                </m:r>
              </m:sub>
            </m:sSub>
          </m:e>
        </m:d>
      </m:oMath>
      <w:r w:rsidR="00235995" w:rsidRPr="00CE7EB7">
        <w:rPr>
          <w:rFonts w:ascii="Aptos" w:hAnsi="Aptos"/>
        </w:rPr>
        <w:t xml:space="preserve">   (S17)</w:t>
      </w:r>
    </w:p>
    <w:p w14:paraId="30D59497" w14:textId="77777777" w:rsidR="00B81424" w:rsidRPr="00CE7EB7" w:rsidRDefault="00E54E0B">
      <w:pPr>
        <w:spacing w:line="480" w:lineRule="auto"/>
        <w:rPr>
          <w:rFonts w:ascii="Aptos" w:hAnsi="Aptos"/>
          <w:color w:val="000000" w:themeColor="text1"/>
        </w:rPr>
      </w:pPr>
      <w:r w:rsidRPr="00CE7EB7">
        <w:rPr>
          <w:rFonts w:ascii="Aptos" w:hAnsi="Aptos"/>
        </w:rPr>
        <w:t xml:space="preserve">This example has one resource with renewal parameter </w:t>
      </w:r>
      <m:oMath>
        <m:r>
          <w:rPr>
            <w:rFonts w:ascii="Cambria Math" w:hAnsi="Cambria Math"/>
          </w:rPr>
          <m:t>r</m:t>
        </m:r>
      </m:oMath>
      <w:r w:rsidRPr="00CE7EB7">
        <w:rPr>
          <w:rFonts w:ascii="Aptos" w:hAnsi="Aptos"/>
        </w:rPr>
        <w:t xml:space="preserve">, self-limitation </w:t>
      </w:r>
      <m:oMath>
        <m:r>
          <w:rPr>
            <w:rFonts w:ascii="Cambria Math" w:hAnsi="Cambria Math"/>
          </w:rPr>
          <m:t>q</m:t>
        </m:r>
      </m:oMath>
      <w:r w:rsidRPr="00CE7EB7">
        <w:rPr>
          <w:rFonts w:ascii="Aptos" w:hAnsi="Aptos"/>
        </w:rPr>
        <w:t xml:space="preserve">, and two consumer uptake coefficients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CE7EB7">
        <w:rPr>
          <w:rFonts w:ascii="Aptos" w:hAnsi="Aptos"/>
        </w:rPr>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E7EB7">
        <w:rPr>
          <w:rFonts w:ascii="Aptos" w:hAnsi="Aptos"/>
        </w:rPr>
        <w:t xml:space="preserve">. Their proportions are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CE7EB7">
        <w:rPr>
          <w:rFonts w:ascii="Aptos" w:hAnsi="Aptos"/>
        </w:rPr>
        <w:t xml:space="preserve"> and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CE7EB7">
        <w:rPr>
          <w:rFonts w:ascii="Aptos" w:hAnsi="Aptos"/>
        </w:rPr>
        <w:t xml:space="preserve">, and </w:t>
      </w:r>
      <m:oMath>
        <m:r>
          <w:rPr>
            <w:rFonts w:ascii="Cambria Math" w:hAnsi="Cambria Math"/>
          </w:rPr>
          <m:t>T</m:t>
        </m:r>
      </m:oMath>
      <w:r w:rsidRPr="00CE7EB7">
        <w:rPr>
          <w:rFonts w:ascii="Aptos" w:hAnsi="Aptos"/>
        </w:rPr>
        <w:t xml:space="preserve"> is their combined absolute abundance. The expression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sSub>
          <m:sSubPr>
            <m:ctrlPr>
              <w:rPr>
                <w:rFonts w:ascii="Cambria Math" w:hAnsi="Cambria Math"/>
              </w:rPr>
            </m:ctrlPr>
          </m:sSubPr>
          <m:e>
            <m:r>
              <w:rPr>
                <w:rFonts w:ascii="Cambria Math" w:hAnsi="Cambria Math"/>
              </w:rPr>
              <m:t>p</m:t>
            </m:r>
          </m:e>
          <m:sub>
            <m:r>
              <w:rPr>
                <w:rFonts w:ascii="Cambria Math" w:hAnsi="Cambria Math"/>
              </w:rPr>
              <m:t>1</m:t>
            </m:r>
          </m:sub>
        </m:sSub>
      </m:oMath>
      <w:r w:rsidRPr="00CE7EB7">
        <w:rPr>
          <w:rFonts w:ascii="Aptos" w:hAnsi="Aptos"/>
        </w:rPr>
        <w:t xml:space="preserve"> is composition-weighted uptake per unit total load; multiplying by </w:t>
      </w:r>
      <m:oMath>
        <m:r>
          <w:rPr>
            <w:rFonts w:ascii="Cambria Math" w:hAnsi="Cambria Math"/>
          </w:rPr>
          <m:t>T</m:t>
        </m:r>
        <m:r>
          <m:rPr>
            <m:sty m:val="p"/>
          </m:rPr>
          <w:rPr>
            <w:rFonts w:ascii="Cambria Math" w:hAnsi="Cambria Math"/>
          </w:rPr>
          <m:t>/</m:t>
        </m:r>
        <m:r>
          <w:rPr>
            <w:rFonts w:ascii="Cambria Math" w:hAnsi="Cambria Math"/>
          </w:rPr>
          <m:t>q</m:t>
        </m:r>
      </m:oMath>
      <w:r w:rsidRPr="00CE7EB7">
        <w:rPr>
          <w:rFonts w:ascii="Aptos" w:hAnsi="Aptos"/>
        </w:rPr>
        <w:t xml:space="preserve"> gives the depletion-induced reduction from the no-consumer equilibrium </w:t>
      </w:r>
      <m:oMath>
        <m:r>
          <w:rPr>
            <w:rFonts w:ascii="Cambria Math" w:hAnsi="Cambria Math"/>
          </w:rPr>
          <m:t>r</m:t>
        </m:r>
        <m:r>
          <m:rPr>
            <m:sty m:val="p"/>
          </m:rPr>
          <w:rPr>
            <w:rFonts w:ascii="Cambria Math" w:hAnsi="Cambria Math"/>
          </w:rPr>
          <m:t>/</m:t>
        </m:r>
        <m:r>
          <w:rPr>
            <w:rFonts w:ascii="Cambria Math" w:hAnsi="Cambria Math"/>
          </w:rPr>
          <m:t>q</m:t>
        </m:r>
      </m:oMath>
      <w:r w:rsidRPr="00CE7EB7">
        <w:rPr>
          <w:rFonts w:ascii="Aptos" w:hAnsi="Aptos"/>
        </w:rPr>
        <w:t xml:space="preserve">. Thus the same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CE7EB7">
        <w:rPr>
          <w:rFonts w:ascii="Aptos" w:hAnsi="Aptos"/>
        </w:rPr>
        <w:t xml:space="preserve"> can yield different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E7EB7">
        <w:rPr>
          <w:rFonts w:ascii="Aptos" w:hAnsi="Aptos"/>
        </w:rPr>
        <w:t xml:space="preserve"> as </w:t>
      </w:r>
      <m:oMath>
        <m:r>
          <w:rPr>
            <w:rFonts w:ascii="Cambria Math" w:hAnsi="Cambria Math"/>
          </w:rPr>
          <m:t>T</m:t>
        </m:r>
      </m:oMath>
      <w:r w:rsidRPr="00CE7EB7">
        <w:rPr>
          <w:rFonts w:ascii="Aptos" w:hAnsi="Aptos"/>
        </w:rPr>
        <w:t xml:space="preserve"> changes.</w:t>
      </w:r>
    </w:p>
    <w:p w14:paraId="0CB233AF" w14:textId="77777777" w:rsidR="003310A9" w:rsidRPr="00CE7EB7" w:rsidRDefault="00235995">
      <w:pPr>
        <w:spacing w:line="480" w:lineRule="auto"/>
        <w:rPr>
          <w:rFonts w:ascii="Aptos" w:hAnsi="Aptos"/>
        </w:rPr>
      </w:pPr>
      <w:r w:rsidRPr="00CE7EB7">
        <w:rPr>
          <w:rFonts w:ascii="Aptos" w:hAnsi="Aptos"/>
        </w:rPr>
        <w:t xml:space="preserve">A single observed composition is therefore compatible with a continuum of absolute resource states as total load varies. If load is correlated with composition across samples, the regression coefficient of resource on </w:t>
      </w:r>
      <w:r w:rsidRPr="00CE7EB7">
        <w:rPr>
          <w:rFonts w:ascii="Aptos" w:hAnsi="Aptos"/>
        </w:rPr>
        <w:lastRenderedPageBreak/>
        <w:t>composition absorbs that covariance, and the apparent slope can differ substantially from the uptake contrast. Measuring total load restores the missing scale.</w:t>
      </w:r>
    </w:p>
    <w:p w14:paraId="2B757759" w14:textId="77777777" w:rsidR="003310A9" w:rsidRPr="00CE7EB7" w:rsidRDefault="00235995">
      <w:pPr>
        <w:pStyle w:val="Heading2"/>
        <w:spacing w:before="0"/>
        <w:rPr>
          <w:rFonts w:ascii="Aptos" w:hAnsi="Aptos"/>
        </w:rPr>
      </w:pPr>
      <w:r w:rsidRPr="00CE7EB7">
        <w:rPr>
          <w:rFonts w:ascii="Aptos" w:hAnsi="Aptos"/>
          <w:sz w:val="21"/>
        </w:rPr>
        <w:t>S3.4 Cross-sectional heterogeneity can create low rank</w:t>
      </w:r>
    </w:p>
    <w:p w14:paraId="547062B4" w14:textId="77777777" w:rsidR="003310A9" w:rsidRPr="00CE7EB7" w:rsidRDefault="00235995">
      <w:pPr>
        <w:spacing w:line="480" w:lineRule="auto"/>
        <w:rPr>
          <w:rFonts w:ascii="Aptos" w:hAnsi="Aptos"/>
        </w:rPr>
      </w:pPr>
      <w:r w:rsidRPr="00CE7EB7">
        <w:rPr>
          <w:rFonts w:ascii="Aptos" w:hAnsi="Aptos"/>
        </w:rPr>
        <w:t>Total load is not the only obstacle. Cross-sectional cohorts combine individuals differing in diet, host and disease state, medication, exposure, and technical batch, and in this model variation in resource supply alone is enough to confound the equilibrium relation. If the supply vector is correlated with composition, a regression of metabolites on taxa combines supply variation with consumption variation, and host and technical factors add further latent structure. Such nuisance structure can itself be low dimensional, so it can create, rotate, or cancel low-rank associations independently of the uptake matrix. Low rank in a cross-sectional compositional analysis is therefore compatible with consumer-resource biology without being a unique signature of it. The narrower statement is that cross-sectional compositions do not identify the absolute equilibrium slope of Equation S14 when total load is unobserved, which should not be generalized into a claim that compositional data carry no information about any model-defined niche dimension.</w:t>
      </w:r>
    </w:p>
    <w:p w14:paraId="76877744" w14:textId="77777777" w:rsidR="003310A9" w:rsidRPr="00CE7EB7" w:rsidRDefault="00235995">
      <w:pPr>
        <w:pStyle w:val="Heading2"/>
        <w:spacing w:before="0"/>
        <w:rPr>
          <w:rFonts w:ascii="Aptos" w:hAnsi="Aptos"/>
        </w:rPr>
      </w:pPr>
      <w:r w:rsidRPr="00CE7EB7">
        <w:rPr>
          <w:rFonts w:ascii="Aptos" w:hAnsi="Aptos"/>
          <w:sz w:val="21"/>
        </w:rPr>
        <w:t>Numerical verification of the consumer-resource reduction</w:t>
      </w:r>
    </w:p>
    <w:p w14:paraId="45F770C7" w14:textId="77777777" w:rsidR="003310A9" w:rsidRPr="00CE7EB7" w:rsidRDefault="00235995">
      <w:pPr>
        <w:spacing w:line="480" w:lineRule="auto"/>
        <w:rPr>
          <w:rFonts w:ascii="Aptos" w:hAnsi="Aptos"/>
        </w:rPr>
      </w:pPr>
      <w:r w:rsidRPr="00CE7EB7">
        <w:rPr>
          <w:rFonts w:ascii="Aptos" w:hAnsi="Aptos"/>
        </w:rPr>
        <w:t>Thirty independent systems were generated with six consumers, five resources, three consumer features, and two resource features. Feature entries and the entries of the coupling matrix were drawn from positive uniform distributions, so the uptake matrix was nonnegative and exactly factorized as in Equation S10. For each seed the interaction matrix was computed in two independent ways, directly from Equation S6 and from the factorized expression in Equation S11, and the relative factorization error, numerical rank, symmetry error, and extreme eigenvalue were recorded. Because there are two resource features, Theorem 1 predicts rank at most two.</w:t>
      </w:r>
    </w:p>
    <w:p w14:paraId="40AE4C8C" w14:textId="77777777" w:rsidR="003310A9" w:rsidRPr="00CE7EB7" w:rsidRDefault="00235995">
      <w:pPr>
        <w:spacing w:line="480" w:lineRule="auto"/>
        <w:rPr>
          <w:rFonts w:ascii="Aptos" w:hAnsi="Aptos"/>
        </w:rPr>
      </w:pPr>
      <w:r w:rsidRPr="00CE7EB7">
        <w:rPr>
          <w:rFonts w:ascii="Aptos" w:hAnsi="Aptos"/>
        </w:rPr>
        <w:t xml:space="preserve">Across all </w:t>
      </w:r>
      <m:oMath>
        <m:r>
          <w:rPr>
            <w:rFonts w:ascii="Cambria Math" w:hAnsi="Cambria Math"/>
          </w:rPr>
          <m:t>30</m:t>
        </m:r>
      </m:oMath>
      <w:r w:rsidRPr="00CE7EB7">
        <w:rPr>
          <w:rFonts w:ascii="Aptos" w:hAnsi="Aptos"/>
        </w:rPr>
        <w:t xml:space="preserve"> seeds the two computations agreed to a maximum relative error of </w:t>
      </w:r>
      <m:oMath>
        <m:r>
          <w:rPr>
            <w:rFonts w:ascii="Cambria Math" w:hAnsi="Cambria Math"/>
          </w:rPr>
          <m:t>2.2×10⁻¹⁶</m:t>
        </m:r>
      </m:oMath>
      <w:r w:rsidRPr="00CE7EB7">
        <w:rPr>
          <w:rFonts w:ascii="Aptos" w:hAnsi="Aptos"/>
        </w:rPr>
        <w:t xml:space="preserve">, the numerical rank was exactly </w:t>
      </w:r>
      <m:oMath>
        <m:r>
          <w:rPr>
            <w:rFonts w:ascii="Cambria Math" w:hAnsi="Cambria Math"/>
          </w:rPr>
          <m:t>2</m:t>
        </m:r>
      </m:oMath>
      <w:r w:rsidRPr="00CE7EB7">
        <w:rPr>
          <w:rFonts w:ascii="Aptos" w:hAnsi="Aptos"/>
        </w:rPr>
        <w:t xml:space="preserve"> in every system, and the extreme eigenvalue of the opposite sign was at most </w:t>
      </w:r>
      <m:oMath>
        <m:r>
          <w:rPr>
            <w:rFonts w:ascii="Cambria Math" w:hAnsi="Cambria Math"/>
          </w:rPr>
          <m:t>1.0×10⁻¹⁶</m:t>
        </m:r>
      </m:oMath>
      <w:r w:rsidRPr="00CE7EB7">
        <w:rPr>
          <w:rFonts w:ascii="Aptos" w:hAnsi="Aptos"/>
        </w:rPr>
        <w:t xml:space="preserve"> in magnitude, consistent with a positive semidefinite, competition-only matrix up to numerical error. The smallest resource concentration across the integrations was </w:t>
      </w:r>
      <m:oMath>
        <m:r>
          <w:rPr>
            <w:rFonts w:ascii="Cambria Math" w:hAnsi="Cambria Math"/>
          </w:rPr>
          <m:t>0.38</m:t>
        </m:r>
      </m:oMath>
      <w:r w:rsidRPr="00CE7EB7">
        <w:rPr>
          <w:rFonts w:ascii="Aptos" w:hAnsi="Aptos"/>
        </w:rPr>
        <w:t>, so no system approached depletion.</w:t>
      </w:r>
    </w:p>
    <w:p w14:paraId="79BB70EC" w14:textId="77777777" w:rsidR="003310A9" w:rsidRPr="00CE7EB7" w:rsidRDefault="00235995">
      <w:pPr>
        <w:spacing w:line="480" w:lineRule="auto"/>
        <w:rPr>
          <w:rFonts w:ascii="Aptos" w:hAnsi="Aptos"/>
        </w:rPr>
      </w:pPr>
      <w:r w:rsidRPr="00CE7EB7">
        <w:rPr>
          <w:rFonts w:ascii="Aptos" w:hAnsi="Aptos"/>
        </w:rPr>
        <w:lastRenderedPageBreak/>
        <w:t xml:space="preserve">Both the full consumer-resource system of Equations S1 and S2 and the reduced system of Equations S4 to S6 were then integrated over the same finite interval for resource-to-consumer timescale factors of </w:t>
      </w:r>
      <m:oMath>
        <m:r>
          <w:rPr>
            <w:rFonts w:ascii="Cambria Math" w:hAnsi="Cambria Math"/>
          </w:rPr>
          <m:t>16</m:t>
        </m:r>
      </m:oMath>
      <w:r w:rsidRPr="00CE7EB7">
        <w:rPr>
          <w:rFonts w:ascii="Aptos" w:hAnsi="Aptos"/>
        </w:rPr>
        <w:t xml:space="preserve">, </w:t>
      </w:r>
      <m:oMath>
        <m:r>
          <w:rPr>
            <w:rFonts w:ascii="Cambria Math" w:hAnsi="Cambria Math"/>
          </w:rPr>
          <m:t>32</m:t>
        </m:r>
      </m:oMath>
      <w:r w:rsidRPr="00CE7EB7">
        <w:rPr>
          <w:rFonts w:ascii="Aptos" w:hAnsi="Aptos"/>
        </w:rPr>
        <w:t xml:space="preserve">, </w:t>
      </w:r>
      <m:oMath>
        <m:r>
          <w:rPr>
            <w:rFonts w:ascii="Cambria Math" w:hAnsi="Cambria Math"/>
          </w:rPr>
          <m:t>64</m:t>
        </m:r>
      </m:oMath>
      <w:r w:rsidRPr="00CE7EB7">
        <w:rPr>
          <w:rFonts w:ascii="Aptos" w:hAnsi="Aptos"/>
        </w:rPr>
        <w:t xml:space="preserve">, </w:t>
      </w:r>
      <m:oMath>
        <m:r>
          <w:rPr>
            <w:rFonts w:ascii="Cambria Math" w:hAnsi="Cambria Math"/>
          </w:rPr>
          <m:t>128,</m:t>
        </m:r>
      </m:oMath>
      <w:r w:rsidRPr="00CE7EB7">
        <w:rPr>
          <w:rFonts w:ascii="Aptos" w:hAnsi="Aptos"/>
        </w:rPr>
        <w:t xml:space="preserve"> and </w:t>
      </w:r>
      <m:oMath>
        <m:r>
          <w:rPr>
            <w:rFonts w:ascii="Cambria Math" w:hAnsi="Cambria Math"/>
          </w:rPr>
          <m:t>256</m:t>
        </m:r>
      </m:oMath>
      <w:r w:rsidRPr="00CE7EB7">
        <w:rPr>
          <w:rFonts w:ascii="Aptos" w:hAnsi="Aptos"/>
        </w:rPr>
        <w:t xml:space="preserve">. Resources were initialized at the quasi-steady values of Equation S3, removing the initial fast relaxation layer so that the test isolated finite-timescale tracking error. Both systems were evaluated at </w:t>
      </w:r>
      <m:oMath>
        <m:r>
          <w:rPr>
            <w:rFonts w:ascii="Cambria Math" w:hAnsi="Cambria Math"/>
          </w:rPr>
          <m:t>101</m:t>
        </m:r>
      </m:oMath>
      <w:r w:rsidRPr="00CE7EB7">
        <w:rPr>
          <w:rFonts w:ascii="Aptos" w:hAnsi="Aptos"/>
        </w:rPr>
        <w:t xml:space="preserve"> common time points, and for each seed and each timescale factor the error was the maximum absolute difference in log consumer abundance over all consumers and time points. The median error fell in inverse proportion to the timescale factor, with a median log-log slope of </w:t>
      </w:r>
      <m:oMath>
        <m:r>
          <w:rPr>
            <w:rFonts w:ascii="Cambria Math" w:hAnsi="Cambria Math"/>
          </w:rPr>
          <m:t>-1.000</m:t>
        </m:r>
      </m:oMath>
      <w:r w:rsidRPr="00CE7EB7">
        <w:rPr>
          <w:rFonts w:ascii="Aptos" w:hAnsi="Aptos"/>
        </w:rPr>
        <w:t xml:space="preserve"> and a </w:t>
      </w:r>
      <m:oMath>
        <m:r>
          <w:rPr>
            <w:rFonts w:ascii="Cambria Math" w:hAnsi="Cambria Math"/>
          </w:rPr>
          <m:t>2.5%</m:t>
        </m:r>
      </m:oMath>
      <w:r w:rsidRPr="00CE7EB7">
        <w:rPr>
          <w:rFonts w:ascii="Aptos" w:hAnsi="Aptos"/>
        </w:rPr>
        <w:t xml:space="preserve"> to </w:t>
      </w:r>
      <m:oMath>
        <m:r>
          <w:rPr>
            <w:rFonts w:ascii="Cambria Math" w:hAnsi="Cambria Math"/>
          </w:rPr>
          <m:t>97.5%</m:t>
        </m:r>
      </m:oMath>
      <w:r w:rsidRPr="00CE7EB7">
        <w:rPr>
          <w:rFonts w:ascii="Aptos" w:hAnsi="Aptos"/>
        </w:rPr>
        <w:t xml:space="preserve"> seed percentile range of </w:t>
      </w:r>
      <m:oMath>
        <m:r>
          <w:rPr>
            <w:rFonts w:ascii="Cambria Math" w:hAnsi="Cambria Math"/>
          </w:rPr>
          <m:t>-1.010</m:t>
        </m:r>
      </m:oMath>
      <w:r w:rsidRPr="00CE7EB7">
        <w:rPr>
          <w:rFonts w:ascii="Aptos" w:hAnsi="Aptos"/>
        </w:rPr>
        <w:t xml:space="preserve"> to </w:t>
      </w:r>
      <m:oMath>
        <m:r>
          <w:rPr>
            <w:rFonts w:ascii="Cambria Math" w:hAnsi="Cambria Math"/>
          </w:rPr>
          <m:t>-0.989</m:t>
        </m:r>
      </m:oMath>
      <w:r w:rsidRPr="00CE7EB7">
        <w:rPr>
          <w:rFonts w:ascii="Aptos" w:hAnsi="Aptos"/>
        </w:rPr>
        <w:t>, matching the first-order rate predicted by singular-perturbation theory (Supplementary Table 1).</w:t>
      </w:r>
    </w:p>
    <w:p w14:paraId="26E7F450" w14:textId="77777777" w:rsidR="003310A9" w:rsidRPr="00CE7EB7" w:rsidRDefault="00235995">
      <w:pPr>
        <w:spacing w:line="480" w:lineRule="auto"/>
        <w:rPr>
          <w:rFonts w:ascii="Aptos" w:hAnsi="Aptos"/>
        </w:rPr>
      </w:pPr>
      <w:r w:rsidRPr="00CE7EB7">
        <w:rPr>
          <w:rFonts w:ascii="Aptos" w:hAnsi="Aptos"/>
        </w:rPr>
        <w:t xml:space="preserve">Supplementary Table 1 Trajectory error of the reduced model against the full consumer-resource system. Values are the median and the </w:t>
      </w:r>
      <m:oMath>
        <m:r>
          <w:rPr>
            <w:rFonts w:ascii="Cambria Math" w:hAnsi="Cambria Math"/>
          </w:rPr>
          <m:t>2.5th</m:t>
        </m:r>
      </m:oMath>
      <w:r w:rsidRPr="00CE7EB7">
        <w:rPr>
          <w:rFonts w:ascii="Aptos" w:hAnsi="Aptos"/>
        </w:rPr>
        <w:t xml:space="preserve"> to </w:t>
      </w:r>
      <m:oMath>
        <m:r>
          <w:rPr>
            <w:rFonts w:ascii="Cambria Math" w:hAnsi="Cambria Math"/>
          </w:rPr>
          <m:t>97.5th</m:t>
        </m:r>
      </m:oMath>
      <w:r w:rsidRPr="00CE7EB7">
        <w:rPr>
          <w:rFonts w:ascii="Aptos" w:hAnsi="Aptos"/>
        </w:rPr>
        <w:t xml:space="preserve"> percentile of the maximum absolute log-abundance error over thirty independent systems. Error falls in inverse proportion to the timescale factor.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300"/>
        <w:gridCol w:w="2300"/>
        <w:gridCol w:w="2300"/>
      </w:tblGrid>
      <w:tr w:rsidR="003310A9" w:rsidRPr="00CE7EB7" w14:paraId="0393716F" w14:textId="77777777">
        <w:trPr>
          <w:cantSplit/>
          <w:tblHeader/>
        </w:trPr>
        <w:tc>
          <w:tcPr>
            <w:tcW w:w="2200" w:type="dxa"/>
            <w:shd w:val="clear" w:color="auto" w:fill="E7E6E6"/>
          </w:tcPr>
          <w:p w14:paraId="2B946E2A"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Timescale factor</w:t>
            </w:r>
          </w:p>
        </w:tc>
        <w:tc>
          <w:tcPr>
            <w:tcW w:w="2300" w:type="dxa"/>
            <w:shd w:val="clear" w:color="auto" w:fill="E7E6E6"/>
          </w:tcPr>
          <w:p w14:paraId="78531792"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Median error</w:t>
            </w:r>
          </w:p>
        </w:tc>
        <w:tc>
          <w:tcPr>
            <w:tcW w:w="2300" w:type="dxa"/>
            <w:shd w:val="clear" w:color="auto" w:fill="E7E6E6"/>
          </w:tcPr>
          <w:p w14:paraId="26BC45D6"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2.5th percentile</w:t>
            </w:r>
          </w:p>
        </w:tc>
        <w:tc>
          <w:tcPr>
            <w:tcW w:w="2300" w:type="dxa"/>
            <w:shd w:val="clear" w:color="auto" w:fill="E7E6E6"/>
          </w:tcPr>
          <w:p w14:paraId="1FCFD7B8"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97.5th percentile</w:t>
            </w:r>
          </w:p>
        </w:tc>
      </w:tr>
      <w:tr w:rsidR="003310A9" w:rsidRPr="00CE7EB7" w14:paraId="2DE376CE" w14:textId="77777777">
        <w:trPr>
          <w:cantSplit/>
        </w:trPr>
        <w:tc>
          <w:tcPr>
            <w:tcW w:w="2200" w:type="dxa"/>
          </w:tcPr>
          <w:p w14:paraId="4A735CA8" w14:textId="77777777" w:rsidR="003310A9" w:rsidRPr="00CE7EB7" w:rsidRDefault="00235995">
            <w:pPr>
              <w:spacing w:after="0" w:line="240" w:lineRule="auto"/>
              <w:rPr>
                <w:rFonts w:ascii="Aptos" w:hAnsi="Aptos"/>
                <w:sz w:val="20"/>
                <w:szCs w:val="20"/>
              </w:rPr>
            </w:pPr>
            <w:r w:rsidRPr="00CE7EB7">
              <w:rPr>
                <w:rFonts w:ascii="Aptos" w:hAnsi="Aptos"/>
                <w:sz w:val="20"/>
                <w:szCs w:val="20"/>
              </w:rPr>
              <w:t>16</w:t>
            </w:r>
          </w:p>
        </w:tc>
        <w:tc>
          <w:tcPr>
            <w:tcW w:w="2300" w:type="dxa"/>
          </w:tcPr>
          <w:p w14:paraId="46B66EC0" w14:textId="77777777" w:rsidR="003310A9" w:rsidRPr="00CE7EB7" w:rsidRDefault="00235995">
            <w:pPr>
              <w:spacing w:after="0" w:line="240" w:lineRule="auto"/>
              <w:rPr>
                <w:rFonts w:ascii="Aptos" w:hAnsi="Aptos"/>
                <w:sz w:val="20"/>
                <w:szCs w:val="20"/>
              </w:rPr>
            </w:pPr>
            <w:r w:rsidRPr="00CE7EB7">
              <w:rPr>
                <w:rFonts w:ascii="Aptos" w:hAnsi="Aptos"/>
                <w:sz w:val="20"/>
                <w:szCs w:val="20"/>
              </w:rPr>
              <w:t>9.67 × 10</w:t>
            </w:r>
            <w:r w:rsidRPr="00CE7EB7">
              <w:rPr>
                <w:rFonts w:ascii="Cambria Math" w:hAnsi="Cambria Math" w:cs="Cambria Math"/>
                <w:sz w:val="20"/>
                <w:szCs w:val="20"/>
              </w:rPr>
              <w:t>⁻</w:t>
            </w:r>
            <w:r w:rsidRPr="00CE7EB7">
              <w:rPr>
                <w:rFonts w:ascii="Aptos" w:hAnsi="Aptos"/>
                <w:sz w:val="20"/>
                <w:szCs w:val="20"/>
              </w:rPr>
              <w:t>³</w:t>
            </w:r>
          </w:p>
        </w:tc>
        <w:tc>
          <w:tcPr>
            <w:tcW w:w="2300" w:type="dxa"/>
          </w:tcPr>
          <w:p w14:paraId="5FC38DCB" w14:textId="77777777" w:rsidR="003310A9" w:rsidRPr="00CE7EB7" w:rsidRDefault="00235995">
            <w:pPr>
              <w:spacing w:after="0" w:line="240" w:lineRule="auto"/>
              <w:rPr>
                <w:rFonts w:ascii="Aptos" w:hAnsi="Aptos"/>
                <w:sz w:val="20"/>
                <w:szCs w:val="20"/>
              </w:rPr>
            </w:pPr>
            <w:r w:rsidRPr="00CE7EB7">
              <w:rPr>
                <w:rFonts w:ascii="Aptos" w:hAnsi="Aptos"/>
                <w:sz w:val="20"/>
                <w:szCs w:val="20"/>
              </w:rPr>
              <w:t>1.57 × 10</w:t>
            </w:r>
            <w:r w:rsidRPr="00CE7EB7">
              <w:rPr>
                <w:rFonts w:ascii="Cambria Math" w:hAnsi="Cambria Math" w:cs="Cambria Math"/>
                <w:sz w:val="20"/>
                <w:szCs w:val="20"/>
              </w:rPr>
              <w:t>⁻</w:t>
            </w:r>
            <w:r w:rsidRPr="00CE7EB7">
              <w:rPr>
                <w:rFonts w:ascii="Aptos" w:hAnsi="Aptos"/>
                <w:sz w:val="20"/>
                <w:szCs w:val="20"/>
              </w:rPr>
              <w:t>³</w:t>
            </w:r>
          </w:p>
        </w:tc>
        <w:tc>
          <w:tcPr>
            <w:tcW w:w="2300" w:type="dxa"/>
          </w:tcPr>
          <w:p w14:paraId="6C23A0FA" w14:textId="77777777" w:rsidR="003310A9" w:rsidRPr="00CE7EB7" w:rsidRDefault="00235995">
            <w:pPr>
              <w:spacing w:after="0" w:line="240" w:lineRule="auto"/>
              <w:rPr>
                <w:rFonts w:ascii="Aptos" w:hAnsi="Aptos"/>
                <w:sz w:val="20"/>
                <w:szCs w:val="20"/>
              </w:rPr>
            </w:pPr>
            <w:r w:rsidRPr="00CE7EB7">
              <w:rPr>
                <w:rFonts w:ascii="Aptos" w:hAnsi="Aptos"/>
                <w:sz w:val="20"/>
                <w:szCs w:val="20"/>
              </w:rPr>
              <w:t>3.32 × 10</w:t>
            </w:r>
            <w:r w:rsidRPr="00CE7EB7">
              <w:rPr>
                <w:rFonts w:ascii="Cambria Math" w:hAnsi="Cambria Math" w:cs="Cambria Math"/>
                <w:sz w:val="20"/>
                <w:szCs w:val="20"/>
              </w:rPr>
              <w:t>⁻</w:t>
            </w:r>
            <w:r w:rsidRPr="00CE7EB7">
              <w:rPr>
                <w:rFonts w:ascii="Aptos" w:hAnsi="Aptos"/>
                <w:sz w:val="20"/>
                <w:szCs w:val="20"/>
              </w:rPr>
              <w:t>²</w:t>
            </w:r>
          </w:p>
        </w:tc>
      </w:tr>
      <w:tr w:rsidR="003310A9" w:rsidRPr="00CE7EB7" w14:paraId="12EA8308" w14:textId="77777777">
        <w:trPr>
          <w:cantSplit/>
        </w:trPr>
        <w:tc>
          <w:tcPr>
            <w:tcW w:w="2200" w:type="dxa"/>
          </w:tcPr>
          <w:p w14:paraId="0A518A8A" w14:textId="77777777" w:rsidR="003310A9" w:rsidRPr="00CE7EB7" w:rsidRDefault="00235995">
            <w:pPr>
              <w:spacing w:after="0" w:line="240" w:lineRule="auto"/>
              <w:rPr>
                <w:rFonts w:ascii="Aptos" w:hAnsi="Aptos"/>
                <w:sz w:val="20"/>
                <w:szCs w:val="20"/>
              </w:rPr>
            </w:pPr>
            <w:r w:rsidRPr="00CE7EB7">
              <w:rPr>
                <w:rFonts w:ascii="Aptos" w:hAnsi="Aptos"/>
                <w:sz w:val="20"/>
                <w:szCs w:val="20"/>
              </w:rPr>
              <w:t>32</w:t>
            </w:r>
          </w:p>
        </w:tc>
        <w:tc>
          <w:tcPr>
            <w:tcW w:w="2300" w:type="dxa"/>
          </w:tcPr>
          <w:p w14:paraId="753C9178" w14:textId="77777777" w:rsidR="003310A9" w:rsidRPr="00CE7EB7" w:rsidRDefault="00235995">
            <w:pPr>
              <w:spacing w:after="0" w:line="240" w:lineRule="auto"/>
              <w:rPr>
                <w:rFonts w:ascii="Aptos" w:hAnsi="Aptos"/>
                <w:sz w:val="20"/>
                <w:szCs w:val="20"/>
              </w:rPr>
            </w:pPr>
            <w:r w:rsidRPr="00CE7EB7">
              <w:rPr>
                <w:rFonts w:ascii="Aptos" w:hAnsi="Aptos"/>
                <w:sz w:val="20"/>
                <w:szCs w:val="20"/>
              </w:rPr>
              <w:t>4.90 × 10</w:t>
            </w:r>
            <w:r w:rsidRPr="00CE7EB7">
              <w:rPr>
                <w:rFonts w:ascii="Cambria Math" w:hAnsi="Cambria Math" w:cs="Cambria Math"/>
                <w:sz w:val="20"/>
                <w:szCs w:val="20"/>
              </w:rPr>
              <w:t>⁻</w:t>
            </w:r>
            <w:r w:rsidRPr="00CE7EB7">
              <w:rPr>
                <w:rFonts w:ascii="Aptos" w:hAnsi="Aptos"/>
                <w:sz w:val="20"/>
                <w:szCs w:val="20"/>
              </w:rPr>
              <w:t>³</w:t>
            </w:r>
          </w:p>
        </w:tc>
        <w:tc>
          <w:tcPr>
            <w:tcW w:w="2300" w:type="dxa"/>
          </w:tcPr>
          <w:p w14:paraId="2FA5916B" w14:textId="77777777" w:rsidR="003310A9" w:rsidRPr="00CE7EB7" w:rsidRDefault="00235995">
            <w:pPr>
              <w:spacing w:after="0" w:line="240" w:lineRule="auto"/>
              <w:rPr>
                <w:rFonts w:ascii="Aptos" w:hAnsi="Aptos"/>
                <w:sz w:val="20"/>
                <w:szCs w:val="20"/>
              </w:rPr>
            </w:pPr>
            <w:r w:rsidRPr="00CE7EB7">
              <w:rPr>
                <w:rFonts w:ascii="Aptos" w:hAnsi="Aptos"/>
                <w:sz w:val="20"/>
                <w:szCs w:val="20"/>
              </w:rPr>
              <w:t>7.97 × 10</w:t>
            </w:r>
            <w:r w:rsidRPr="00CE7EB7">
              <w:rPr>
                <w:rFonts w:ascii="Cambria Math" w:hAnsi="Cambria Math" w:cs="Cambria Math"/>
                <w:sz w:val="20"/>
                <w:szCs w:val="20"/>
              </w:rPr>
              <w:t>⁻</w:t>
            </w:r>
            <w:r w:rsidRPr="00CE7EB7">
              <w:rPr>
                <w:rFonts w:ascii="Aptos" w:hAnsi="Aptos"/>
                <w:sz w:val="20"/>
                <w:szCs w:val="20"/>
              </w:rPr>
              <w:t>⁴</w:t>
            </w:r>
          </w:p>
        </w:tc>
        <w:tc>
          <w:tcPr>
            <w:tcW w:w="2300" w:type="dxa"/>
          </w:tcPr>
          <w:p w14:paraId="7DC89434" w14:textId="77777777" w:rsidR="003310A9" w:rsidRPr="00CE7EB7" w:rsidRDefault="00235995">
            <w:pPr>
              <w:spacing w:after="0" w:line="240" w:lineRule="auto"/>
              <w:rPr>
                <w:rFonts w:ascii="Aptos" w:hAnsi="Aptos"/>
                <w:sz w:val="20"/>
                <w:szCs w:val="20"/>
              </w:rPr>
            </w:pPr>
            <w:r w:rsidRPr="00CE7EB7">
              <w:rPr>
                <w:rFonts w:ascii="Aptos" w:hAnsi="Aptos"/>
                <w:sz w:val="20"/>
                <w:szCs w:val="20"/>
              </w:rPr>
              <w:t>1.67 × 10</w:t>
            </w:r>
            <w:r w:rsidRPr="00CE7EB7">
              <w:rPr>
                <w:rFonts w:ascii="Cambria Math" w:hAnsi="Cambria Math" w:cs="Cambria Math"/>
                <w:sz w:val="20"/>
                <w:szCs w:val="20"/>
              </w:rPr>
              <w:t>⁻</w:t>
            </w:r>
            <w:r w:rsidRPr="00CE7EB7">
              <w:rPr>
                <w:rFonts w:ascii="Aptos" w:hAnsi="Aptos"/>
                <w:sz w:val="20"/>
                <w:szCs w:val="20"/>
              </w:rPr>
              <w:t>²</w:t>
            </w:r>
          </w:p>
        </w:tc>
      </w:tr>
      <w:tr w:rsidR="003310A9" w:rsidRPr="00CE7EB7" w14:paraId="7397FA49" w14:textId="77777777">
        <w:trPr>
          <w:cantSplit/>
        </w:trPr>
        <w:tc>
          <w:tcPr>
            <w:tcW w:w="2200" w:type="dxa"/>
          </w:tcPr>
          <w:p w14:paraId="49B19236" w14:textId="77777777" w:rsidR="003310A9" w:rsidRPr="00CE7EB7" w:rsidRDefault="00235995">
            <w:pPr>
              <w:spacing w:after="0" w:line="240" w:lineRule="auto"/>
              <w:rPr>
                <w:rFonts w:ascii="Aptos" w:hAnsi="Aptos"/>
                <w:sz w:val="20"/>
                <w:szCs w:val="20"/>
              </w:rPr>
            </w:pPr>
            <w:r w:rsidRPr="00CE7EB7">
              <w:rPr>
                <w:rFonts w:ascii="Aptos" w:hAnsi="Aptos"/>
                <w:sz w:val="20"/>
                <w:szCs w:val="20"/>
              </w:rPr>
              <w:t>64</w:t>
            </w:r>
          </w:p>
        </w:tc>
        <w:tc>
          <w:tcPr>
            <w:tcW w:w="2300" w:type="dxa"/>
          </w:tcPr>
          <w:p w14:paraId="3C430652" w14:textId="77777777" w:rsidR="003310A9" w:rsidRPr="00CE7EB7" w:rsidRDefault="00235995">
            <w:pPr>
              <w:spacing w:after="0" w:line="240" w:lineRule="auto"/>
              <w:rPr>
                <w:rFonts w:ascii="Aptos" w:hAnsi="Aptos"/>
                <w:sz w:val="20"/>
                <w:szCs w:val="20"/>
              </w:rPr>
            </w:pPr>
            <w:r w:rsidRPr="00CE7EB7">
              <w:rPr>
                <w:rFonts w:ascii="Aptos" w:hAnsi="Aptos"/>
                <w:sz w:val="20"/>
                <w:szCs w:val="20"/>
              </w:rPr>
              <w:t>2.47 × 10</w:t>
            </w:r>
            <w:r w:rsidRPr="00CE7EB7">
              <w:rPr>
                <w:rFonts w:ascii="Cambria Math" w:hAnsi="Cambria Math" w:cs="Cambria Math"/>
                <w:sz w:val="20"/>
                <w:szCs w:val="20"/>
              </w:rPr>
              <w:t>⁻</w:t>
            </w:r>
            <w:r w:rsidRPr="00CE7EB7">
              <w:rPr>
                <w:rFonts w:ascii="Aptos" w:hAnsi="Aptos"/>
                <w:sz w:val="20"/>
                <w:szCs w:val="20"/>
              </w:rPr>
              <w:t>³</w:t>
            </w:r>
          </w:p>
        </w:tc>
        <w:tc>
          <w:tcPr>
            <w:tcW w:w="2300" w:type="dxa"/>
          </w:tcPr>
          <w:p w14:paraId="7256566C" w14:textId="77777777" w:rsidR="003310A9" w:rsidRPr="00CE7EB7" w:rsidRDefault="00235995">
            <w:pPr>
              <w:spacing w:after="0" w:line="240" w:lineRule="auto"/>
              <w:rPr>
                <w:rFonts w:ascii="Aptos" w:hAnsi="Aptos"/>
                <w:sz w:val="20"/>
                <w:szCs w:val="20"/>
              </w:rPr>
            </w:pPr>
            <w:r w:rsidRPr="00CE7EB7">
              <w:rPr>
                <w:rFonts w:ascii="Aptos" w:hAnsi="Aptos"/>
                <w:sz w:val="20"/>
                <w:szCs w:val="20"/>
              </w:rPr>
              <w:t>4.01 × 10</w:t>
            </w:r>
            <w:r w:rsidRPr="00CE7EB7">
              <w:rPr>
                <w:rFonts w:ascii="Cambria Math" w:hAnsi="Cambria Math" w:cs="Cambria Math"/>
                <w:sz w:val="20"/>
                <w:szCs w:val="20"/>
              </w:rPr>
              <w:t>⁻</w:t>
            </w:r>
            <w:r w:rsidRPr="00CE7EB7">
              <w:rPr>
                <w:rFonts w:ascii="Aptos" w:hAnsi="Aptos"/>
                <w:sz w:val="20"/>
                <w:szCs w:val="20"/>
              </w:rPr>
              <w:t>⁴</w:t>
            </w:r>
          </w:p>
        </w:tc>
        <w:tc>
          <w:tcPr>
            <w:tcW w:w="2300" w:type="dxa"/>
          </w:tcPr>
          <w:p w14:paraId="753E56E1" w14:textId="77777777" w:rsidR="003310A9" w:rsidRPr="00CE7EB7" w:rsidRDefault="00235995">
            <w:pPr>
              <w:spacing w:after="0" w:line="240" w:lineRule="auto"/>
              <w:rPr>
                <w:rFonts w:ascii="Aptos" w:hAnsi="Aptos"/>
                <w:sz w:val="20"/>
                <w:szCs w:val="20"/>
              </w:rPr>
            </w:pPr>
            <w:r w:rsidRPr="00CE7EB7">
              <w:rPr>
                <w:rFonts w:ascii="Aptos" w:hAnsi="Aptos"/>
                <w:sz w:val="20"/>
                <w:szCs w:val="20"/>
              </w:rPr>
              <w:t>8.39 × 10</w:t>
            </w:r>
            <w:r w:rsidRPr="00CE7EB7">
              <w:rPr>
                <w:rFonts w:ascii="Cambria Math" w:hAnsi="Cambria Math" w:cs="Cambria Math"/>
                <w:sz w:val="20"/>
                <w:szCs w:val="20"/>
              </w:rPr>
              <w:t>⁻</w:t>
            </w:r>
            <w:r w:rsidRPr="00CE7EB7">
              <w:rPr>
                <w:rFonts w:ascii="Aptos" w:hAnsi="Aptos"/>
                <w:sz w:val="20"/>
                <w:szCs w:val="20"/>
              </w:rPr>
              <w:t>³</w:t>
            </w:r>
          </w:p>
        </w:tc>
      </w:tr>
      <w:tr w:rsidR="003310A9" w:rsidRPr="00CE7EB7" w14:paraId="458DF157" w14:textId="77777777">
        <w:trPr>
          <w:cantSplit/>
        </w:trPr>
        <w:tc>
          <w:tcPr>
            <w:tcW w:w="2200" w:type="dxa"/>
          </w:tcPr>
          <w:p w14:paraId="2869A8CC" w14:textId="77777777" w:rsidR="003310A9" w:rsidRPr="00CE7EB7" w:rsidRDefault="00235995">
            <w:pPr>
              <w:spacing w:after="0" w:line="240" w:lineRule="auto"/>
              <w:rPr>
                <w:rFonts w:ascii="Aptos" w:hAnsi="Aptos"/>
                <w:sz w:val="20"/>
                <w:szCs w:val="20"/>
              </w:rPr>
            </w:pPr>
            <w:r w:rsidRPr="00CE7EB7">
              <w:rPr>
                <w:rFonts w:ascii="Aptos" w:hAnsi="Aptos"/>
                <w:sz w:val="20"/>
                <w:szCs w:val="20"/>
              </w:rPr>
              <w:t>128</w:t>
            </w:r>
          </w:p>
        </w:tc>
        <w:tc>
          <w:tcPr>
            <w:tcW w:w="2300" w:type="dxa"/>
          </w:tcPr>
          <w:p w14:paraId="787D71B3" w14:textId="77777777" w:rsidR="003310A9" w:rsidRPr="00CE7EB7" w:rsidRDefault="00235995">
            <w:pPr>
              <w:spacing w:after="0" w:line="240" w:lineRule="auto"/>
              <w:rPr>
                <w:rFonts w:ascii="Aptos" w:hAnsi="Aptos"/>
                <w:sz w:val="20"/>
                <w:szCs w:val="20"/>
              </w:rPr>
            </w:pPr>
            <w:r w:rsidRPr="00CE7EB7">
              <w:rPr>
                <w:rFonts w:ascii="Aptos" w:hAnsi="Aptos"/>
                <w:sz w:val="20"/>
                <w:szCs w:val="20"/>
              </w:rPr>
              <w:t>1.24 × 10</w:t>
            </w:r>
            <w:r w:rsidRPr="00CE7EB7">
              <w:rPr>
                <w:rFonts w:ascii="Cambria Math" w:hAnsi="Cambria Math" w:cs="Cambria Math"/>
                <w:sz w:val="20"/>
                <w:szCs w:val="20"/>
              </w:rPr>
              <w:t>⁻</w:t>
            </w:r>
            <w:r w:rsidRPr="00CE7EB7">
              <w:rPr>
                <w:rFonts w:ascii="Aptos" w:hAnsi="Aptos"/>
                <w:sz w:val="20"/>
                <w:szCs w:val="20"/>
              </w:rPr>
              <w:t>³</w:t>
            </w:r>
          </w:p>
        </w:tc>
        <w:tc>
          <w:tcPr>
            <w:tcW w:w="2300" w:type="dxa"/>
          </w:tcPr>
          <w:p w14:paraId="7F7FC6D3" w14:textId="77777777" w:rsidR="003310A9" w:rsidRPr="00CE7EB7" w:rsidRDefault="00235995">
            <w:pPr>
              <w:spacing w:after="0" w:line="240" w:lineRule="auto"/>
              <w:rPr>
                <w:rFonts w:ascii="Aptos" w:hAnsi="Aptos"/>
                <w:sz w:val="20"/>
                <w:szCs w:val="20"/>
              </w:rPr>
            </w:pPr>
            <w:r w:rsidRPr="00CE7EB7">
              <w:rPr>
                <w:rFonts w:ascii="Aptos" w:hAnsi="Aptos"/>
                <w:sz w:val="20"/>
                <w:szCs w:val="20"/>
              </w:rPr>
              <w:t>2.01 × 10</w:t>
            </w:r>
            <w:r w:rsidRPr="00CE7EB7">
              <w:rPr>
                <w:rFonts w:ascii="Cambria Math" w:hAnsi="Cambria Math" w:cs="Cambria Math"/>
                <w:sz w:val="20"/>
                <w:szCs w:val="20"/>
              </w:rPr>
              <w:t>⁻</w:t>
            </w:r>
            <w:r w:rsidRPr="00CE7EB7">
              <w:rPr>
                <w:rFonts w:ascii="Aptos" w:hAnsi="Aptos"/>
                <w:sz w:val="20"/>
                <w:szCs w:val="20"/>
              </w:rPr>
              <w:t>⁴</w:t>
            </w:r>
          </w:p>
        </w:tc>
        <w:tc>
          <w:tcPr>
            <w:tcW w:w="2300" w:type="dxa"/>
          </w:tcPr>
          <w:p w14:paraId="63FB94F2" w14:textId="77777777" w:rsidR="003310A9" w:rsidRPr="00CE7EB7" w:rsidRDefault="00235995">
            <w:pPr>
              <w:spacing w:after="0" w:line="240" w:lineRule="auto"/>
              <w:rPr>
                <w:rFonts w:ascii="Aptos" w:hAnsi="Aptos"/>
                <w:sz w:val="20"/>
                <w:szCs w:val="20"/>
              </w:rPr>
            </w:pPr>
            <w:r w:rsidRPr="00CE7EB7">
              <w:rPr>
                <w:rFonts w:ascii="Aptos" w:hAnsi="Aptos"/>
                <w:sz w:val="20"/>
                <w:szCs w:val="20"/>
              </w:rPr>
              <w:t>4.20 × 10</w:t>
            </w:r>
            <w:r w:rsidRPr="00CE7EB7">
              <w:rPr>
                <w:rFonts w:ascii="Cambria Math" w:hAnsi="Cambria Math" w:cs="Cambria Math"/>
                <w:sz w:val="20"/>
                <w:szCs w:val="20"/>
              </w:rPr>
              <w:t>⁻</w:t>
            </w:r>
            <w:r w:rsidRPr="00CE7EB7">
              <w:rPr>
                <w:rFonts w:ascii="Aptos" w:hAnsi="Aptos"/>
                <w:sz w:val="20"/>
                <w:szCs w:val="20"/>
              </w:rPr>
              <w:t>³</w:t>
            </w:r>
          </w:p>
        </w:tc>
      </w:tr>
      <w:tr w:rsidR="003310A9" w:rsidRPr="00CE7EB7" w14:paraId="270D56FC" w14:textId="77777777">
        <w:trPr>
          <w:cantSplit/>
        </w:trPr>
        <w:tc>
          <w:tcPr>
            <w:tcW w:w="2200" w:type="dxa"/>
          </w:tcPr>
          <w:p w14:paraId="71705FE2" w14:textId="77777777" w:rsidR="003310A9" w:rsidRPr="00CE7EB7" w:rsidRDefault="00235995">
            <w:pPr>
              <w:spacing w:after="0" w:line="240" w:lineRule="auto"/>
              <w:rPr>
                <w:rFonts w:ascii="Aptos" w:hAnsi="Aptos"/>
                <w:sz w:val="20"/>
                <w:szCs w:val="20"/>
              </w:rPr>
            </w:pPr>
            <w:r w:rsidRPr="00CE7EB7">
              <w:rPr>
                <w:rFonts w:ascii="Aptos" w:hAnsi="Aptos"/>
                <w:sz w:val="20"/>
                <w:szCs w:val="20"/>
              </w:rPr>
              <w:t>256</w:t>
            </w:r>
          </w:p>
        </w:tc>
        <w:tc>
          <w:tcPr>
            <w:tcW w:w="2300" w:type="dxa"/>
          </w:tcPr>
          <w:p w14:paraId="7F1B53AA" w14:textId="77777777" w:rsidR="003310A9" w:rsidRPr="00CE7EB7" w:rsidRDefault="00235995">
            <w:pPr>
              <w:spacing w:after="0" w:line="240" w:lineRule="auto"/>
              <w:rPr>
                <w:rFonts w:ascii="Aptos" w:hAnsi="Aptos"/>
                <w:sz w:val="20"/>
                <w:szCs w:val="20"/>
              </w:rPr>
            </w:pPr>
            <w:r w:rsidRPr="00CE7EB7">
              <w:rPr>
                <w:rFonts w:ascii="Aptos" w:hAnsi="Aptos"/>
                <w:sz w:val="20"/>
                <w:szCs w:val="20"/>
              </w:rPr>
              <w:t>6.19 × 10</w:t>
            </w:r>
            <w:r w:rsidRPr="00CE7EB7">
              <w:rPr>
                <w:rFonts w:ascii="Cambria Math" w:hAnsi="Cambria Math" w:cs="Cambria Math"/>
                <w:sz w:val="20"/>
                <w:szCs w:val="20"/>
              </w:rPr>
              <w:t>⁻</w:t>
            </w:r>
            <w:r w:rsidRPr="00CE7EB7">
              <w:rPr>
                <w:rFonts w:ascii="Aptos" w:hAnsi="Aptos"/>
                <w:sz w:val="20"/>
                <w:szCs w:val="20"/>
              </w:rPr>
              <w:t>⁴</w:t>
            </w:r>
          </w:p>
        </w:tc>
        <w:tc>
          <w:tcPr>
            <w:tcW w:w="2300" w:type="dxa"/>
          </w:tcPr>
          <w:p w14:paraId="5665969E" w14:textId="77777777" w:rsidR="003310A9" w:rsidRPr="00CE7EB7" w:rsidRDefault="00235995">
            <w:pPr>
              <w:spacing w:after="0" w:line="240" w:lineRule="auto"/>
              <w:rPr>
                <w:rFonts w:ascii="Aptos" w:hAnsi="Aptos"/>
                <w:sz w:val="20"/>
                <w:szCs w:val="20"/>
              </w:rPr>
            </w:pPr>
            <w:r w:rsidRPr="00CE7EB7">
              <w:rPr>
                <w:rFonts w:ascii="Aptos" w:hAnsi="Aptos"/>
                <w:sz w:val="20"/>
                <w:szCs w:val="20"/>
              </w:rPr>
              <w:t>1.01 × 10</w:t>
            </w:r>
            <w:r w:rsidRPr="00CE7EB7">
              <w:rPr>
                <w:rFonts w:ascii="Cambria Math" w:hAnsi="Cambria Math" w:cs="Cambria Math"/>
                <w:sz w:val="20"/>
                <w:szCs w:val="20"/>
              </w:rPr>
              <w:t>⁻</w:t>
            </w:r>
            <w:r w:rsidRPr="00CE7EB7">
              <w:rPr>
                <w:rFonts w:ascii="Aptos" w:hAnsi="Aptos"/>
                <w:sz w:val="20"/>
                <w:szCs w:val="20"/>
              </w:rPr>
              <w:t>⁴</w:t>
            </w:r>
          </w:p>
        </w:tc>
        <w:tc>
          <w:tcPr>
            <w:tcW w:w="2300" w:type="dxa"/>
          </w:tcPr>
          <w:p w14:paraId="125020F7" w14:textId="77777777" w:rsidR="003310A9" w:rsidRPr="00CE7EB7" w:rsidRDefault="00235995">
            <w:pPr>
              <w:spacing w:after="0" w:line="240" w:lineRule="auto"/>
              <w:rPr>
                <w:rFonts w:ascii="Aptos" w:hAnsi="Aptos"/>
                <w:sz w:val="20"/>
                <w:szCs w:val="20"/>
              </w:rPr>
            </w:pPr>
            <w:r w:rsidRPr="00CE7EB7">
              <w:rPr>
                <w:rFonts w:ascii="Aptos" w:hAnsi="Aptos"/>
                <w:sz w:val="20"/>
                <w:szCs w:val="20"/>
              </w:rPr>
              <w:t>2.10 × 10</w:t>
            </w:r>
            <w:r w:rsidRPr="00CE7EB7">
              <w:rPr>
                <w:rFonts w:ascii="Cambria Math" w:hAnsi="Cambria Math" w:cs="Cambria Math"/>
                <w:sz w:val="20"/>
                <w:szCs w:val="20"/>
              </w:rPr>
              <w:t>⁻</w:t>
            </w:r>
            <w:r w:rsidRPr="00CE7EB7">
              <w:rPr>
                <w:rFonts w:ascii="Aptos" w:hAnsi="Aptos"/>
                <w:sz w:val="20"/>
                <w:szCs w:val="20"/>
              </w:rPr>
              <w:t>³</w:t>
            </w:r>
          </w:p>
        </w:tc>
      </w:tr>
    </w:tbl>
    <w:p w14:paraId="45CEBE50" w14:textId="77777777" w:rsidR="0075453E" w:rsidRPr="00CE7EB7" w:rsidRDefault="0075453E">
      <w:pPr>
        <w:pStyle w:val="Heading2"/>
        <w:spacing w:before="0"/>
        <w:rPr>
          <w:rFonts w:ascii="Aptos" w:hAnsi="Aptos"/>
          <w:sz w:val="21"/>
        </w:rPr>
      </w:pPr>
    </w:p>
    <w:p w14:paraId="2767E8D1" w14:textId="77777777" w:rsidR="003310A9" w:rsidRPr="00CE7EB7" w:rsidRDefault="00235995">
      <w:pPr>
        <w:pStyle w:val="Heading2"/>
        <w:spacing w:before="0"/>
        <w:rPr>
          <w:rFonts w:ascii="Aptos" w:hAnsi="Aptos"/>
        </w:rPr>
      </w:pPr>
      <w:r w:rsidRPr="00CE7EB7">
        <w:rPr>
          <w:rFonts w:ascii="Aptos" w:hAnsi="Aptos"/>
          <w:sz w:val="21"/>
        </w:rPr>
        <w:t>Eight-cohort predictive benchmark</w:t>
      </w:r>
    </w:p>
    <w:p w14:paraId="585B6707"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The eight paired microbiome-metabolome cohorts</w:t>
      </w:r>
      <w:r>
        <w:rPr>
          <w:rFonts w:ascii="Aptos" w:hAnsi="Aptos"/>
          <w:color w:val="000000" w:themeColor="text1"/>
          <w:vertAlign w:val="superscript"/>
        </w:rPr>
        <w:t>11</w:t>
      </w:r>
      <w:r>
        <w:rPr>
          <w:rFonts w:ascii="Aptos" w:hAnsi="Aptos"/>
          <w:color w:val="000000" w:themeColor="text1"/>
        </w:rPr>
        <w:t xml:space="preserve"> were analyzed by matched group-aware nested validation. Taxon and metabolite preprocessing was learned inside each outer training fold. Repeated participants and family structure were respected where available. Reduced-rank regression, principal-components regression, and ridge regression used identical folds.</w:t>
      </w:r>
    </w:p>
    <w:p w14:paraId="458C4DDC"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2</w:t>
      </w:r>
      <w:r w:rsidRPr="00CE7EB7">
        <w:rPr>
          <w:rFonts w:ascii="Aptos" w:hAnsi="Aptos"/>
          <w:color w:val="000000" w:themeColor="text1"/>
        </w:rPr>
        <w:t xml:space="preserve"> Five-fold cohort benchmark. Entries are mean plus or minus standard deviation across outer folds; the RRR dimension is the median selected predictive rank.</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331D" w:rsidRPr="00CE7EB7" w14:paraId="2E07BD73" w14:textId="77777777">
        <w:trPr>
          <w:tblHeader/>
          <w:jc w:val="center"/>
        </w:trPr>
        <w:tc>
          <w:tcPr>
            <w:tcW w:w="1987" w:type="dxa"/>
            <w:shd w:val="clear" w:color="auto" w:fill="E7E6E6"/>
          </w:tcPr>
          <w:p w14:paraId="3293D45A"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Cohort</w:t>
            </w:r>
          </w:p>
        </w:tc>
        <w:tc>
          <w:tcPr>
            <w:tcW w:w="1987" w:type="dxa"/>
            <w:shd w:val="clear" w:color="auto" w:fill="E7E6E6"/>
          </w:tcPr>
          <w:p w14:paraId="6C465BF5"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RRR</w:t>
            </w:r>
          </w:p>
        </w:tc>
        <w:tc>
          <w:tcPr>
            <w:tcW w:w="1987" w:type="dxa"/>
            <w:shd w:val="clear" w:color="auto" w:fill="E7E6E6"/>
          </w:tcPr>
          <w:p w14:paraId="6242A8FB"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PCR</w:t>
            </w:r>
          </w:p>
        </w:tc>
        <w:tc>
          <w:tcPr>
            <w:tcW w:w="1987" w:type="dxa"/>
            <w:shd w:val="clear" w:color="auto" w:fill="E7E6E6"/>
          </w:tcPr>
          <w:p w14:paraId="3259A370"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Ridge</w:t>
            </w:r>
          </w:p>
        </w:tc>
        <w:tc>
          <w:tcPr>
            <w:tcW w:w="1987" w:type="dxa"/>
            <w:shd w:val="clear" w:color="auto" w:fill="E7E6E6"/>
          </w:tcPr>
          <w:p w14:paraId="33DFDC00"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RRR dimension</w:t>
            </w:r>
          </w:p>
        </w:tc>
      </w:tr>
      <w:tr w:rsidR="0070331D" w:rsidRPr="00CE7EB7" w14:paraId="423F6026" w14:textId="77777777">
        <w:trPr>
          <w:jc w:val="center"/>
        </w:trPr>
        <w:tc>
          <w:tcPr>
            <w:tcW w:w="1987" w:type="dxa"/>
          </w:tcPr>
          <w:p w14:paraId="79FBA942"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Erawijantari gastric cancer</w:t>
            </w:r>
          </w:p>
        </w:tc>
        <w:tc>
          <w:tcPr>
            <w:tcW w:w="1987" w:type="dxa"/>
          </w:tcPr>
          <w:p w14:paraId="469949E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0.064</m:t>
                </m:r>
                <m:r>
                  <m:rPr>
                    <m:sty m:val="p"/>
                  </m:rPr>
                  <w:rPr>
                    <w:rFonts w:ascii="Cambria Math" w:hAnsi="Cambria Math"/>
                    <w:color w:val="000000" w:themeColor="text1"/>
                    <w:sz w:val="20"/>
                    <w:szCs w:val="20"/>
                  </w:rPr>
                  <m:t>±</m:t>
                </m:r>
                <m:r>
                  <w:rPr>
                    <w:rFonts w:ascii="Cambria Math" w:hAnsi="Cambria Math"/>
                    <w:color w:val="000000" w:themeColor="text1"/>
                    <w:sz w:val="20"/>
                    <w:szCs w:val="20"/>
                  </w:rPr>
                  <m:t>0.036</m:t>
                </m:r>
              </m:oMath>
            </m:oMathPara>
          </w:p>
        </w:tc>
        <w:tc>
          <w:tcPr>
            <w:tcW w:w="1987" w:type="dxa"/>
          </w:tcPr>
          <w:p w14:paraId="01B5FA2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0.062</m:t>
                </m:r>
                <m:r>
                  <m:rPr>
                    <m:sty m:val="p"/>
                  </m:rPr>
                  <w:rPr>
                    <w:rFonts w:ascii="Cambria Math" w:hAnsi="Cambria Math"/>
                    <w:color w:val="000000" w:themeColor="text1"/>
                    <w:sz w:val="20"/>
                    <w:szCs w:val="20"/>
                  </w:rPr>
                  <m:t>±</m:t>
                </m:r>
                <m:r>
                  <w:rPr>
                    <w:rFonts w:ascii="Cambria Math" w:hAnsi="Cambria Math"/>
                    <w:color w:val="000000" w:themeColor="text1"/>
                    <w:sz w:val="20"/>
                    <w:szCs w:val="20"/>
                  </w:rPr>
                  <m:t>0.044</m:t>
                </m:r>
              </m:oMath>
            </m:oMathPara>
          </w:p>
        </w:tc>
        <w:tc>
          <w:tcPr>
            <w:tcW w:w="1987" w:type="dxa"/>
          </w:tcPr>
          <w:p w14:paraId="3D4AFAC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0.064</m:t>
                </m:r>
                <m:r>
                  <m:rPr>
                    <m:sty m:val="p"/>
                  </m:rPr>
                  <w:rPr>
                    <w:rFonts w:ascii="Cambria Math" w:hAnsi="Cambria Math"/>
                    <w:color w:val="000000" w:themeColor="text1"/>
                    <w:sz w:val="20"/>
                    <w:szCs w:val="20"/>
                  </w:rPr>
                  <m:t>±</m:t>
                </m:r>
                <m:r>
                  <w:rPr>
                    <w:rFonts w:ascii="Cambria Math" w:hAnsi="Cambria Math"/>
                    <w:color w:val="000000" w:themeColor="text1"/>
                    <w:sz w:val="20"/>
                    <w:szCs w:val="20"/>
                  </w:rPr>
                  <m:t>0.051</m:t>
                </m:r>
              </m:oMath>
            </m:oMathPara>
          </w:p>
        </w:tc>
        <w:tc>
          <w:tcPr>
            <w:tcW w:w="1987" w:type="dxa"/>
          </w:tcPr>
          <w:p w14:paraId="0083256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r w:rsidR="0070331D" w:rsidRPr="00CE7EB7" w14:paraId="6329661D" w14:textId="77777777">
        <w:trPr>
          <w:jc w:val="center"/>
        </w:trPr>
        <w:tc>
          <w:tcPr>
            <w:tcW w:w="1987" w:type="dxa"/>
          </w:tcPr>
          <w:p w14:paraId="14586953"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lastRenderedPageBreak/>
              <w:t>Franzosa IBD</w:t>
            </w:r>
          </w:p>
        </w:tc>
        <w:tc>
          <w:tcPr>
            <w:tcW w:w="1987" w:type="dxa"/>
          </w:tcPr>
          <w:p w14:paraId="1ECD5A1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0.215</m:t>
                </m:r>
                <m:r>
                  <m:rPr>
                    <m:sty m:val="p"/>
                  </m:rPr>
                  <w:rPr>
                    <w:rFonts w:ascii="Cambria Math" w:hAnsi="Cambria Math"/>
                    <w:color w:val="000000" w:themeColor="text1"/>
                    <w:sz w:val="20"/>
                    <w:szCs w:val="20"/>
                  </w:rPr>
                  <m:t>±</m:t>
                </m:r>
                <m:r>
                  <w:rPr>
                    <w:rFonts w:ascii="Cambria Math" w:hAnsi="Cambria Math"/>
                    <w:color w:val="000000" w:themeColor="text1"/>
                    <w:sz w:val="20"/>
                    <w:szCs w:val="20"/>
                  </w:rPr>
                  <m:t>0.017</m:t>
                </m:r>
              </m:oMath>
            </m:oMathPara>
          </w:p>
        </w:tc>
        <w:tc>
          <w:tcPr>
            <w:tcW w:w="1987" w:type="dxa"/>
          </w:tcPr>
          <w:p w14:paraId="4705DC0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0.220</m:t>
                </m:r>
                <m:r>
                  <m:rPr>
                    <m:sty m:val="p"/>
                  </m:rPr>
                  <w:rPr>
                    <w:rFonts w:ascii="Cambria Math" w:hAnsi="Cambria Math"/>
                    <w:color w:val="000000" w:themeColor="text1"/>
                    <w:sz w:val="20"/>
                    <w:szCs w:val="20"/>
                  </w:rPr>
                  <m:t>±</m:t>
                </m:r>
                <m:r>
                  <w:rPr>
                    <w:rFonts w:ascii="Cambria Math" w:hAnsi="Cambria Math"/>
                    <w:color w:val="000000" w:themeColor="text1"/>
                    <w:sz w:val="20"/>
                    <w:szCs w:val="20"/>
                  </w:rPr>
                  <m:t>0.018</m:t>
                </m:r>
              </m:oMath>
            </m:oMathPara>
          </w:p>
        </w:tc>
        <w:tc>
          <w:tcPr>
            <w:tcW w:w="1987" w:type="dxa"/>
          </w:tcPr>
          <w:p w14:paraId="46D6D0C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0.212</m:t>
                </m:r>
                <m:r>
                  <m:rPr>
                    <m:sty m:val="p"/>
                  </m:rPr>
                  <w:rPr>
                    <w:rFonts w:ascii="Cambria Math" w:hAnsi="Cambria Math"/>
                    <w:color w:val="000000" w:themeColor="text1"/>
                    <w:sz w:val="20"/>
                    <w:szCs w:val="20"/>
                  </w:rPr>
                  <m:t>±</m:t>
                </m:r>
                <m:r>
                  <w:rPr>
                    <w:rFonts w:ascii="Cambria Math" w:hAnsi="Cambria Math"/>
                    <w:color w:val="000000" w:themeColor="text1"/>
                    <w:sz w:val="20"/>
                    <w:szCs w:val="20"/>
                  </w:rPr>
                  <m:t>0.018</m:t>
                </m:r>
              </m:oMath>
            </m:oMathPara>
          </w:p>
        </w:tc>
        <w:tc>
          <w:tcPr>
            <w:tcW w:w="1987" w:type="dxa"/>
          </w:tcPr>
          <w:p w14:paraId="3A156DF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m:t>
                </m:r>
              </m:oMath>
            </m:oMathPara>
          </w:p>
        </w:tc>
      </w:tr>
      <w:tr w:rsidR="0070331D" w:rsidRPr="00CE7EB7" w14:paraId="3F1AEA61" w14:textId="77777777">
        <w:trPr>
          <w:jc w:val="center"/>
        </w:trPr>
        <w:tc>
          <w:tcPr>
            <w:tcW w:w="1987" w:type="dxa"/>
          </w:tcPr>
          <w:p w14:paraId="463F5342"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He infants</w:t>
            </w:r>
          </w:p>
        </w:tc>
        <w:tc>
          <w:tcPr>
            <w:tcW w:w="1987" w:type="dxa"/>
          </w:tcPr>
          <w:p w14:paraId="0669D3F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0.091</m:t>
                </m:r>
                <m:r>
                  <m:rPr>
                    <m:sty m:val="p"/>
                  </m:rPr>
                  <w:rPr>
                    <w:rFonts w:ascii="Cambria Math" w:hAnsi="Cambria Math"/>
                    <w:color w:val="000000" w:themeColor="text1"/>
                    <w:sz w:val="20"/>
                    <w:szCs w:val="20"/>
                  </w:rPr>
                  <m:t>±</m:t>
                </m:r>
                <m:r>
                  <w:rPr>
                    <w:rFonts w:ascii="Cambria Math" w:hAnsi="Cambria Math"/>
                    <w:color w:val="000000" w:themeColor="text1"/>
                    <w:sz w:val="20"/>
                    <w:szCs w:val="20"/>
                  </w:rPr>
                  <m:t>0.021</m:t>
                </m:r>
              </m:oMath>
            </m:oMathPara>
          </w:p>
        </w:tc>
        <w:tc>
          <w:tcPr>
            <w:tcW w:w="1987" w:type="dxa"/>
          </w:tcPr>
          <w:p w14:paraId="24F534B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0.091</m:t>
                </m:r>
                <m:r>
                  <m:rPr>
                    <m:sty m:val="p"/>
                  </m:rPr>
                  <w:rPr>
                    <w:rFonts w:ascii="Cambria Math" w:hAnsi="Cambria Math"/>
                    <w:color w:val="000000" w:themeColor="text1"/>
                    <w:sz w:val="20"/>
                    <w:szCs w:val="20"/>
                  </w:rPr>
                  <m:t>±</m:t>
                </m:r>
                <m:r>
                  <w:rPr>
                    <w:rFonts w:ascii="Cambria Math" w:hAnsi="Cambria Math"/>
                    <w:color w:val="000000" w:themeColor="text1"/>
                    <w:sz w:val="20"/>
                    <w:szCs w:val="20"/>
                  </w:rPr>
                  <m:t>0.023</m:t>
                </m:r>
              </m:oMath>
            </m:oMathPara>
          </w:p>
        </w:tc>
        <w:tc>
          <w:tcPr>
            <w:tcW w:w="1987" w:type="dxa"/>
          </w:tcPr>
          <w:p w14:paraId="6DF3709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0.090</m:t>
                </m:r>
                <m:r>
                  <m:rPr>
                    <m:sty m:val="p"/>
                  </m:rPr>
                  <w:rPr>
                    <w:rFonts w:ascii="Cambria Math" w:hAnsi="Cambria Math"/>
                    <w:color w:val="000000" w:themeColor="text1"/>
                    <w:sz w:val="20"/>
                    <w:szCs w:val="20"/>
                  </w:rPr>
                  <m:t>±</m:t>
                </m:r>
                <m:r>
                  <w:rPr>
                    <w:rFonts w:ascii="Cambria Math" w:hAnsi="Cambria Math"/>
                    <w:color w:val="000000" w:themeColor="text1"/>
                    <w:sz w:val="20"/>
                    <w:szCs w:val="20"/>
                  </w:rPr>
                  <m:t>0.018</m:t>
                </m:r>
              </m:oMath>
            </m:oMathPara>
          </w:p>
        </w:tc>
        <w:tc>
          <w:tcPr>
            <w:tcW w:w="1987" w:type="dxa"/>
          </w:tcPr>
          <w:p w14:paraId="2F327E1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r w:rsidR="0070331D" w:rsidRPr="00CE7EB7" w14:paraId="4C52ED34" w14:textId="77777777">
        <w:trPr>
          <w:jc w:val="center"/>
        </w:trPr>
        <w:tc>
          <w:tcPr>
            <w:tcW w:w="1987" w:type="dxa"/>
          </w:tcPr>
          <w:p w14:paraId="069E586B"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Jacobs IBD families</w:t>
            </w:r>
          </w:p>
        </w:tc>
        <w:tc>
          <w:tcPr>
            <w:tcW w:w="1987" w:type="dxa"/>
          </w:tcPr>
          <w:p w14:paraId="03B2B7C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0.112</m:t>
                </m:r>
                <m:r>
                  <m:rPr>
                    <m:sty m:val="p"/>
                  </m:rPr>
                  <w:rPr>
                    <w:rFonts w:ascii="Cambria Math" w:hAnsi="Cambria Math"/>
                    <w:color w:val="000000" w:themeColor="text1"/>
                    <w:sz w:val="20"/>
                    <w:szCs w:val="20"/>
                  </w:rPr>
                  <m:t>±</m:t>
                </m:r>
                <m:r>
                  <w:rPr>
                    <w:rFonts w:ascii="Cambria Math" w:hAnsi="Cambria Math"/>
                    <w:color w:val="000000" w:themeColor="text1"/>
                    <w:sz w:val="20"/>
                    <w:szCs w:val="20"/>
                  </w:rPr>
                  <m:t>0.045</m:t>
                </m:r>
              </m:oMath>
            </m:oMathPara>
          </w:p>
        </w:tc>
        <w:tc>
          <w:tcPr>
            <w:tcW w:w="1987" w:type="dxa"/>
          </w:tcPr>
          <w:p w14:paraId="7A41C60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0.100</m:t>
                </m:r>
                <m:r>
                  <m:rPr>
                    <m:sty m:val="p"/>
                  </m:rPr>
                  <w:rPr>
                    <w:rFonts w:ascii="Cambria Math" w:hAnsi="Cambria Math"/>
                    <w:color w:val="000000" w:themeColor="text1"/>
                    <w:sz w:val="20"/>
                    <w:szCs w:val="20"/>
                  </w:rPr>
                  <m:t>±</m:t>
                </m:r>
                <m:r>
                  <w:rPr>
                    <w:rFonts w:ascii="Cambria Math" w:hAnsi="Cambria Math"/>
                    <w:color w:val="000000" w:themeColor="text1"/>
                    <w:sz w:val="20"/>
                    <w:szCs w:val="20"/>
                  </w:rPr>
                  <m:t>0.077</m:t>
                </m:r>
              </m:oMath>
            </m:oMathPara>
          </w:p>
        </w:tc>
        <w:tc>
          <w:tcPr>
            <w:tcW w:w="1987" w:type="dxa"/>
          </w:tcPr>
          <w:p w14:paraId="4857E2B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0.098</m:t>
                </m:r>
                <m:r>
                  <m:rPr>
                    <m:sty m:val="p"/>
                  </m:rPr>
                  <w:rPr>
                    <w:rFonts w:ascii="Cambria Math" w:hAnsi="Cambria Math"/>
                    <w:color w:val="000000" w:themeColor="text1"/>
                    <w:sz w:val="20"/>
                    <w:szCs w:val="20"/>
                  </w:rPr>
                  <m:t>±</m:t>
                </m:r>
                <m:r>
                  <w:rPr>
                    <w:rFonts w:ascii="Cambria Math" w:hAnsi="Cambria Math"/>
                    <w:color w:val="000000" w:themeColor="text1"/>
                    <w:sz w:val="20"/>
                    <w:szCs w:val="20"/>
                  </w:rPr>
                  <m:t>0.039</m:t>
                </m:r>
              </m:oMath>
            </m:oMathPara>
          </w:p>
        </w:tc>
        <w:tc>
          <w:tcPr>
            <w:tcW w:w="1987" w:type="dxa"/>
          </w:tcPr>
          <w:p w14:paraId="6EA1B2B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m:t>
                </m:r>
              </m:oMath>
            </m:oMathPara>
          </w:p>
        </w:tc>
      </w:tr>
      <w:tr w:rsidR="0070331D" w:rsidRPr="00CE7EB7" w14:paraId="7A87D36F" w14:textId="77777777">
        <w:trPr>
          <w:jc w:val="center"/>
        </w:trPr>
        <w:tc>
          <w:tcPr>
            <w:tcW w:w="1987" w:type="dxa"/>
          </w:tcPr>
          <w:p w14:paraId="2462B6FD"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Kang autism</w:t>
            </w:r>
          </w:p>
        </w:tc>
        <w:tc>
          <w:tcPr>
            <w:tcW w:w="1987" w:type="dxa"/>
          </w:tcPr>
          <w:p w14:paraId="7A12CC3E" w14:textId="77777777" w:rsidR="0070331D" w:rsidRPr="00CE7EB7" w:rsidRDefault="006D3DA6">
            <w:pPr>
              <w:spacing w:line="240" w:lineRule="auto"/>
              <w:rPr>
                <w:rFonts w:ascii="Aptos" w:hAnsi="Aptos"/>
                <w:color w:val="000000" w:themeColor="text1"/>
                <w:sz w:val="20"/>
                <w:szCs w:val="20"/>
              </w:rPr>
            </w:pPr>
            <m:oMathPara>
              <m:oMath>
                <m:r>
                  <m:rPr>
                    <m:sty m:val="p"/>
                  </m:rPr>
                  <w:rPr>
                    <w:rFonts w:ascii="Cambria Math" w:hAnsi="Cambria Math"/>
                    <w:color w:val="000000" w:themeColor="text1"/>
                    <w:sz w:val="20"/>
                    <w:szCs w:val="20"/>
                  </w:rPr>
                  <m:t>-</m:t>
                </m:r>
                <m:r>
                  <w:rPr>
                    <w:rFonts w:ascii="Cambria Math" w:hAnsi="Cambria Math"/>
                    <w:color w:val="000000" w:themeColor="text1"/>
                    <w:sz w:val="20"/>
                    <w:szCs w:val="20"/>
                  </w:rPr>
                  <m:t>0.015</m:t>
                </m:r>
                <m:r>
                  <m:rPr>
                    <m:sty m:val="p"/>
                  </m:rPr>
                  <w:rPr>
                    <w:rFonts w:ascii="Cambria Math" w:hAnsi="Cambria Math"/>
                    <w:color w:val="000000" w:themeColor="text1"/>
                    <w:sz w:val="20"/>
                    <w:szCs w:val="20"/>
                  </w:rPr>
                  <m:t>±</m:t>
                </m:r>
                <m:r>
                  <w:rPr>
                    <w:rFonts w:ascii="Cambria Math" w:hAnsi="Cambria Math"/>
                    <w:color w:val="000000" w:themeColor="text1"/>
                    <w:sz w:val="20"/>
                    <w:szCs w:val="20"/>
                  </w:rPr>
                  <m:t>0.196</m:t>
                </m:r>
              </m:oMath>
            </m:oMathPara>
          </w:p>
        </w:tc>
        <w:tc>
          <w:tcPr>
            <w:tcW w:w="1987" w:type="dxa"/>
          </w:tcPr>
          <w:p w14:paraId="3E32598A" w14:textId="77777777" w:rsidR="0070331D" w:rsidRPr="00CE7EB7" w:rsidRDefault="006D3DA6">
            <w:pPr>
              <w:spacing w:line="240" w:lineRule="auto"/>
              <w:rPr>
                <w:rFonts w:ascii="Aptos" w:hAnsi="Aptos"/>
                <w:color w:val="000000" w:themeColor="text1"/>
                <w:sz w:val="20"/>
                <w:szCs w:val="20"/>
              </w:rPr>
            </w:pPr>
            <m:oMathPara>
              <m:oMath>
                <m:r>
                  <m:rPr>
                    <m:sty m:val="p"/>
                  </m:rPr>
                  <w:rPr>
                    <w:rFonts w:ascii="Cambria Math" w:hAnsi="Cambria Math"/>
                    <w:color w:val="000000" w:themeColor="text1"/>
                    <w:sz w:val="20"/>
                    <w:szCs w:val="20"/>
                  </w:rPr>
                  <m:t>-</m:t>
                </m:r>
                <m:r>
                  <w:rPr>
                    <w:rFonts w:ascii="Cambria Math" w:hAnsi="Cambria Math"/>
                    <w:color w:val="000000" w:themeColor="text1"/>
                    <w:sz w:val="20"/>
                    <w:szCs w:val="20"/>
                  </w:rPr>
                  <m:t>0.032</m:t>
                </m:r>
                <m:r>
                  <m:rPr>
                    <m:sty m:val="p"/>
                  </m:rPr>
                  <w:rPr>
                    <w:rFonts w:ascii="Cambria Math" w:hAnsi="Cambria Math"/>
                    <w:color w:val="000000" w:themeColor="text1"/>
                    <w:sz w:val="20"/>
                    <w:szCs w:val="20"/>
                  </w:rPr>
                  <m:t>±</m:t>
                </m:r>
                <m:r>
                  <w:rPr>
                    <w:rFonts w:ascii="Cambria Math" w:hAnsi="Cambria Math"/>
                    <w:color w:val="000000" w:themeColor="text1"/>
                    <w:sz w:val="20"/>
                    <w:szCs w:val="20"/>
                  </w:rPr>
                  <m:t>0.191</m:t>
                </m:r>
              </m:oMath>
            </m:oMathPara>
          </w:p>
        </w:tc>
        <w:tc>
          <w:tcPr>
            <w:tcW w:w="1987" w:type="dxa"/>
          </w:tcPr>
          <w:p w14:paraId="2CA1D614" w14:textId="77777777" w:rsidR="0070331D" w:rsidRPr="00CE7EB7" w:rsidRDefault="006D3DA6">
            <w:pPr>
              <w:spacing w:line="240" w:lineRule="auto"/>
              <w:rPr>
                <w:rFonts w:ascii="Aptos" w:hAnsi="Aptos"/>
                <w:color w:val="000000" w:themeColor="text1"/>
                <w:sz w:val="20"/>
                <w:szCs w:val="20"/>
              </w:rPr>
            </w:pPr>
            <m:oMathPara>
              <m:oMath>
                <m:r>
                  <m:rPr>
                    <m:sty m:val="p"/>
                  </m:rPr>
                  <w:rPr>
                    <w:rFonts w:ascii="Cambria Math" w:hAnsi="Cambria Math"/>
                    <w:color w:val="000000" w:themeColor="text1"/>
                    <w:sz w:val="20"/>
                    <w:szCs w:val="20"/>
                  </w:rPr>
                  <m:t>-</m:t>
                </m:r>
                <m:r>
                  <w:rPr>
                    <w:rFonts w:ascii="Cambria Math" w:hAnsi="Cambria Math"/>
                    <w:color w:val="000000" w:themeColor="text1"/>
                    <w:sz w:val="20"/>
                    <w:szCs w:val="20"/>
                  </w:rPr>
                  <m:t>0.027</m:t>
                </m:r>
                <m:r>
                  <m:rPr>
                    <m:sty m:val="p"/>
                  </m:rPr>
                  <w:rPr>
                    <w:rFonts w:ascii="Cambria Math" w:hAnsi="Cambria Math"/>
                    <w:color w:val="000000" w:themeColor="text1"/>
                    <w:sz w:val="20"/>
                    <w:szCs w:val="20"/>
                  </w:rPr>
                  <m:t>±</m:t>
                </m:r>
                <m:r>
                  <w:rPr>
                    <w:rFonts w:ascii="Cambria Math" w:hAnsi="Cambria Math"/>
                    <w:color w:val="000000" w:themeColor="text1"/>
                    <w:sz w:val="20"/>
                    <w:szCs w:val="20"/>
                  </w:rPr>
                  <m:t>0.194</m:t>
                </m:r>
              </m:oMath>
            </m:oMathPara>
          </w:p>
        </w:tc>
        <w:tc>
          <w:tcPr>
            <w:tcW w:w="1987" w:type="dxa"/>
          </w:tcPr>
          <w:p w14:paraId="579E9A0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m:t>
                </m:r>
              </m:oMath>
            </m:oMathPara>
          </w:p>
        </w:tc>
      </w:tr>
      <w:tr w:rsidR="0070331D" w:rsidRPr="00CE7EB7" w14:paraId="4A7A1F7E" w14:textId="77777777">
        <w:trPr>
          <w:jc w:val="center"/>
        </w:trPr>
        <w:tc>
          <w:tcPr>
            <w:tcW w:w="1987" w:type="dxa"/>
          </w:tcPr>
          <w:p w14:paraId="47C741CF"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Wandro preterms</w:t>
            </w:r>
          </w:p>
        </w:tc>
        <w:tc>
          <w:tcPr>
            <w:tcW w:w="1987" w:type="dxa"/>
          </w:tcPr>
          <w:p w14:paraId="42347F0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0.181</m:t>
                </m:r>
                <m:r>
                  <m:rPr>
                    <m:sty m:val="p"/>
                  </m:rPr>
                  <w:rPr>
                    <w:rFonts w:ascii="Cambria Math" w:hAnsi="Cambria Math"/>
                    <w:color w:val="000000" w:themeColor="text1"/>
                    <w:sz w:val="20"/>
                    <w:szCs w:val="20"/>
                  </w:rPr>
                  <m:t>±</m:t>
                </m:r>
                <m:r>
                  <w:rPr>
                    <w:rFonts w:ascii="Cambria Math" w:hAnsi="Cambria Math"/>
                    <w:color w:val="000000" w:themeColor="text1"/>
                    <w:sz w:val="20"/>
                    <w:szCs w:val="20"/>
                  </w:rPr>
                  <m:t>0.076</m:t>
                </m:r>
              </m:oMath>
            </m:oMathPara>
          </w:p>
        </w:tc>
        <w:tc>
          <w:tcPr>
            <w:tcW w:w="1987" w:type="dxa"/>
          </w:tcPr>
          <w:p w14:paraId="72FA582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0.145</m:t>
                </m:r>
                <m:r>
                  <m:rPr>
                    <m:sty m:val="p"/>
                  </m:rPr>
                  <w:rPr>
                    <w:rFonts w:ascii="Cambria Math" w:hAnsi="Cambria Math"/>
                    <w:color w:val="000000" w:themeColor="text1"/>
                    <w:sz w:val="20"/>
                    <w:szCs w:val="20"/>
                  </w:rPr>
                  <m:t>±</m:t>
                </m:r>
                <m:r>
                  <w:rPr>
                    <w:rFonts w:ascii="Cambria Math" w:hAnsi="Cambria Math"/>
                    <w:color w:val="000000" w:themeColor="text1"/>
                    <w:sz w:val="20"/>
                    <w:szCs w:val="20"/>
                  </w:rPr>
                  <m:t>0.051</m:t>
                </m:r>
              </m:oMath>
            </m:oMathPara>
          </w:p>
        </w:tc>
        <w:tc>
          <w:tcPr>
            <w:tcW w:w="1987" w:type="dxa"/>
          </w:tcPr>
          <w:p w14:paraId="0913DE5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0.143</m:t>
                </m:r>
                <m:r>
                  <m:rPr>
                    <m:sty m:val="p"/>
                  </m:rPr>
                  <w:rPr>
                    <w:rFonts w:ascii="Cambria Math" w:hAnsi="Cambria Math"/>
                    <w:color w:val="000000" w:themeColor="text1"/>
                    <w:sz w:val="20"/>
                    <w:szCs w:val="20"/>
                  </w:rPr>
                  <m:t>±</m:t>
                </m:r>
                <m:r>
                  <w:rPr>
                    <w:rFonts w:ascii="Cambria Math" w:hAnsi="Cambria Math"/>
                    <w:color w:val="000000" w:themeColor="text1"/>
                    <w:sz w:val="20"/>
                    <w:szCs w:val="20"/>
                  </w:rPr>
                  <m:t>0.047</m:t>
                </m:r>
              </m:oMath>
            </m:oMathPara>
          </w:p>
        </w:tc>
        <w:tc>
          <w:tcPr>
            <w:tcW w:w="1987" w:type="dxa"/>
          </w:tcPr>
          <w:p w14:paraId="5A45FFF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m:t>
                </m:r>
              </m:oMath>
            </m:oMathPara>
          </w:p>
        </w:tc>
      </w:tr>
      <w:tr w:rsidR="0070331D" w:rsidRPr="00CE7EB7" w14:paraId="7B33A7FF" w14:textId="77777777">
        <w:trPr>
          <w:jc w:val="center"/>
        </w:trPr>
        <w:tc>
          <w:tcPr>
            <w:tcW w:w="1987" w:type="dxa"/>
          </w:tcPr>
          <w:p w14:paraId="4A170069"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Wang ESRD</w:t>
            </w:r>
          </w:p>
        </w:tc>
        <w:tc>
          <w:tcPr>
            <w:tcW w:w="1987" w:type="dxa"/>
          </w:tcPr>
          <w:p w14:paraId="6F779B9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0.096</m:t>
                </m:r>
                <m:r>
                  <m:rPr>
                    <m:sty m:val="p"/>
                  </m:rPr>
                  <w:rPr>
                    <w:rFonts w:ascii="Cambria Math" w:hAnsi="Cambria Math"/>
                    <w:color w:val="000000" w:themeColor="text1"/>
                    <w:sz w:val="20"/>
                    <w:szCs w:val="20"/>
                  </w:rPr>
                  <m:t>±</m:t>
                </m:r>
                <m:r>
                  <w:rPr>
                    <w:rFonts w:ascii="Cambria Math" w:hAnsi="Cambria Math"/>
                    <w:color w:val="000000" w:themeColor="text1"/>
                    <w:sz w:val="20"/>
                    <w:szCs w:val="20"/>
                  </w:rPr>
                  <m:t>0.016</m:t>
                </m:r>
              </m:oMath>
            </m:oMathPara>
          </w:p>
        </w:tc>
        <w:tc>
          <w:tcPr>
            <w:tcW w:w="1987" w:type="dxa"/>
          </w:tcPr>
          <w:p w14:paraId="5A994C8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0.094</m:t>
                </m:r>
                <m:r>
                  <m:rPr>
                    <m:sty m:val="p"/>
                  </m:rPr>
                  <w:rPr>
                    <w:rFonts w:ascii="Cambria Math" w:hAnsi="Cambria Math"/>
                    <w:color w:val="000000" w:themeColor="text1"/>
                    <w:sz w:val="20"/>
                    <w:szCs w:val="20"/>
                  </w:rPr>
                  <m:t>±</m:t>
                </m:r>
                <m:r>
                  <w:rPr>
                    <w:rFonts w:ascii="Cambria Math" w:hAnsi="Cambria Math"/>
                    <w:color w:val="000000" w:themeColor="text1"/>
                    <w:sz w:val="20"/>
                    <w:szCs w:val="20"/>
                  </w:rPr>
                  <m:t>0.016</m:t>
                </m:r>
              </m:oMath>
            </m:oMathPara>
          </w:p>
        </w:tc>
        <w:tc>
          <w:tcPr>
            <w:tcW w:w="1987" w:type="dxa"/>
          </w:tcPr>
          <w:p w14:paraId="4619619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0.057</m:t>
                </m:r>
                <m:r>
                  <m:rPr>
                    <m:sty m:val="p"/>
                  </m:rPr>
                  <w:rPr>
                    <w:rFonts w:ascii="Cambria Math" w:hAnsi="Cambria Math"/>
                    <w:color w:val="000000" w:themeColor="text1"/>
                    <w:sz w:val="20"/>
                    <w:szCs w:val="20"/>
                  </w:rPr>
                  <m:t>±</m:t>
                </m:r>
                <m:r>
                  <w:rPr>
                    <w:rFonts w:ascii="Cambria Math" w:hAnsi="Cambria Math"/>
                    <w:color w:val="000000" w:themeColor="text1"/>
                    <w:sz w:val="20"/>
                    <w:szCs w:val="20"/>
                  </w:rPr>
                  <m:t>0.027</m:t>
                </m:r>
              </m:oMath>
            </m:oMathPara>
          </w:p>
        </w:tc>
        <w:tc>
          <w:tcPr>
            <w:tcW w:w="1987" w:type="dxa"/>
          </w:tcPr>
          <w:p w14:paraId="56C2689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r w:rsidR="0070331D" w:rsidRPr="00CE7EB7" w14:paraId="5E15FC74" w14:textId="77777777">
        <w:trPr>
          <w:jc w:val="center"/>
        </w:trPr>
        <w:tc>
          <w:tcPr>
            <w:tcW w:w="1987" w:type="dxa"/>
          </w:tcPr>
          <w:p w14:paraId="07C0C97E"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Yachida CRC</w:t>
            </w:r>
          </w:p>
        </w:tc>
        <w:tc>
          <w:tcPr>
            <w:tcW w:w="1987" w:type="dxa"/>
          </w:tcPr>
          <w:p w14:paraId="09FE90D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0.098</m:t>
                </m:r>
                <m:r>
                  <m:rPr>
                    <m:sty m:val="p"/>
                  </m:rPr>
                  <w:rPr>
                    <w:rFonts w:ascii="Cambria Math" w:hAnsi="Cambria Math"/>
                    <w:color w:val="000000" w:themeColor="text1"/>
                    <w:sz w:val="20"/>
                    <w:szCs w:val="20"/>
                  </w:rPr>
                  <m:t>±</m:t>
                </m:r>
                <m:r>
                  <w:rPr>
                    <w:rFonts w:ascii="Cambria Math" w:hAnsi="Cambria Math"/>
                    <w:color w:val="000000" w:themeColor="text1"/>
                    <w:sz w:val="20"/>
                    <w:szCs w:val="20"/>
                  </w:rPr>
                  <m:t>0.034</m:t>
                </m:r>
              </m:oMath>
            </m:oMathPara>
          </w:p>
        </w:tc>
        <w:tc>
          <w:tcPr>
            <w:tcW w:w="1987" w:type="dxa"/>
          </w:tcPr>
          <w:p w14:paraId="06062B3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0.103</m:t>
                </m:r>
                <m:r>
                  <m:rPr>
                    <m:sty m:val="p"/>
                  </m:rPr>
                  <w:rPr>
                    <w:rFonts w:ascii="Cambria Math" w:hAnsi="Cambria Math"/>
                    <w:color w:val="000000" w:themeColor="text1"/>
                    <w:sz w:val="20"/>
                    <w:szCs w:val="20"/>
                  </w:rPr>
                  <m:t>±</m:t>
                </m:r>
                <m:r>
                  <w:rPr>
                    <w:rFonts w:ascii="Cambria Math" w:hAnsi="Cambria Math"/>
                    <w:color w:val="000000" w:themeColor="text1"/>
                    <w:sz w:val="20"/>
                    <w:szCs w:val="20"/>
                  </w:rPr>
                  <m:t>0.028</m:t>
                </m:r>
              </m:oMath>
            </m:oMathPara>
          </w:p>
        </w:tc>
        <w:tc>
          <w:tcPr>
            <w:tcW w:w="1987" w:type="dxa"/>
          </w:tcPr>
          <w:p w14:paraId="35B4CAE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0.071</m:t>
                </m:r>
                <m:r>
                  <m:rPr>
                    <m:sty m:val="p"/>
                  </m:rPr>
                  <w:rPr>
                    <w:rFonts w:ascii="Cambria Math" w:hAnsi="Cambria Math"/>
                    <w:color w:val="000000" w:themeColor="text1"/>
                    <w:sz w:val="20"/>
                    <w:szCs w:val="20"/>
                  </w:rPr>
                  <m:t>±</m:t>
                </m:r>
                <m:r>
                  <w:rPr>
                    <w:rFonts w:ascii="Cambria Math" w:hAnsi="Cambria Math"/>
                    <w:color w:val="000000" w:themeColor="text1"/>
                    <w:sz w:val="20"/>
                    <w:szCs w:val="20"/>
                  </w:rPr>
                  <m:t>0.034</m:t>
                </m:r>
              </m:oMath>
            </m:oMathPara>
          </w:p>
        </w:tc>
        <w:tc>
          <w:tcPr>
            <w:tcW w:w="1987" w:type="dxa"/>
          </w:tcPr>
          <w:p w14:paraId="73D8C54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bl>
    <w:p w14:paraId="0C82D41F" w14:textId="77777777" w:rsidR="0075453E" w:rsidRPr="00CE7EB7" w:rsidRDefault="0075453E">
      <w:pPr>
        <w:pStyle w:val="Heading2"/>
        <w:spacing w:before="0"/>
        <w:rPr>
          <w:rFonts w:ascii="Aptos" w:hAnsi="Aptos"/>
          <w:sz w:val="21"/>
        </w:rPr>
      </w:pPr>
    </w:p>
    <w:p w14:paraId="121064E8" w14:textId="77777777" w:rsidR="003310A9" w:rsidRPr="00CE7EB7" w:rsidRDefault="00235995">
      <w:pPr>
        <w:pStyle w:val="Heading2"/>
        <w:spacing w:before="0"/>
        <w:rPr>
          <w:rFonts w:ascii="Aptos" w:hAnsi="Aptos"/>
        </w:rPr>
      </w:pPr>
      <w:r w:rsidRPr="00CE7EB7">
        <w:rPr>
          <w:rFonts w:ascii="Aptos" w:hAnsi="Aptos"/>
          <w:sz w:val="21"/>
        </w:rPr>
        <w:t>Effective niche dimension on the same cohorts</w:t>
      </w:r>
    </w:p>
    <w:p w14:paraId="19FBE23D"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3</w:t>
      </w:r>
      <w:r w:rsidRPr="00CE7EB7">
        <w:rPr>
          <w:rFonts w:ascii="Aptos" w:hAnsi="Aptos"/>
          <w:color w:val="000000" w:themeColor="text1"/>
        </w:rPr>
        <w:t xml:space="preserve"> Effective niche dimension of the eight paired cohorts. Values are means plus or minus standard deviations over one hundred subsamples.</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70331D" w:rsidRPr="00CE7EB7" w14:paraId="514D9194" w14:textId="77777777">
        <w:trPr>
          <w:tblHeader/>
          <w:jc w:val="center"/>
        </w:trPr>
        <w:tc>
          <w:tcPr>
            <w:tcW w:w="1419" w:type="dxa"/>
            <w:shd w:val="clear" w:color="auto" w:fill="E7E6E6"/>
          </w:tcPr>
          <w:p w14:paraId="6F22FC59"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Cohort</w:t>
            </w:r>
          </w:p>
        </w:tc>
        <w:tc>
          <w:tcPr>
            <w:tcW w:w="1419" w:type="dxa"/>
            <w:shd w:val="clear" w:color="auto" w:fill="E7E6E6"/>
          </w:tcPr>
          <w:p w14:paraId="2C37D965"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Samples</w:t>
            </w:r>
          </w:p>
        </w:tc>
        <w:tc>
          <w:tcPr>
            <w:tcW w:w="1419" w:type="dxa"/>
            <w:shd w:val="clear" w:color="auto" w:fill="E7E6E6"/>
          </w:tcPr>
          <w:p w14:paraId="759BC34B"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Genera</w:t>
            </w:r>
          </w:p>
        </w:tc>
        <w:tc>
          <w:tcPr>
            <w:tcW w:w="1419" w:type="dxa"/>
            <w:shd w:val="clear" w:color="auto" w:fill="E7E6E6"/>
          </w:tcPr>
          <w:p w14:paraId="739FF8A6"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Subsample</w:t>
            </w:r>
          </w:p>
        </w:tc>
        <w:tc>
          <w:tcPr>
            <w:tcW w:w="1419" w:type="dxa"/>
            <w:shd w:val="clear" w:color="auto" w:fill="E7E6E6"/>
          </w:tcPr>
          <w:p w14:paraId="5B12E16E"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Niche dimension</w:t>
            </w:r>
          </w:p>
        </w:tc>
        <w:tc>
          <w:tcPr>
            <w:tcW w:w="1419" w:type="dxa"/>
            <w:shd w:val="clear" w:color="auto" w:fill="E7E6E6"/>
          </w:tcPr>
          <w:p w14:paraId="7E5F0CCD"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Metabolite-space dimension</w:t>
            </w:r>
          </w:p>
        </w:tc>
        <w:tc>
          <w:tcPr>
            <w:tcW w:w="1419" w:type="dxa"/>
            <w:shd w:val="clear" w:color="auto" w:fill="E7E6E6"/>
          </w:tcPr>
          <w:p w14:paraId="1F7B1E7E"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RRR dimension</w:t>
            </w:r>
          </w:p>
        </w:tc>
      </w:tr>
      <w:tr w:rsidR="0070331D" w:rsidRPr="00CE7EB7" w14:paraId="6526C76D" w14:textId="77777777">
        <w:trPr>
          <w:jc w:val="center"/>
        </w:trPr>
        <w:tc>
          <w:tcPr>
            <w:tcW w:w="1419" w:type="dxa"/>
          </w:tcPr>
          <w:p w14:paraId="27D6B162"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Erawijantari</w:t>
            </w:r>
          </w:p>
        </w:tc>
        <w:tc>
          <w:tcPr>
            <w:tcW w:w="1419" w:type="dxa"/>
          </w:tcPr>
          <w:p w14:paraId="725FD58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96</m:t>
                </m:r>
              </m:oMath>
            </m:oMathPara>
          </w:p>
        </w:tc>
        <w:tc>
          <w:tcPr>
            <w:tcW w:w="1419" w:type="dxa"/>
          </w:tcPr>
          <w:p w14:paraId="6190004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90</m:t>
                </m:r>
              </m:oMath>
            </m:oMathPara>
          </w:p>
        </w:tc>
        <w:tc>
          <w:tcPr>
            <w:tcW w:w="1419" w:type="dxa"/>
          </w:tcPr>
          <w:p w14:paraId="6C6761E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5523F15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3.30</m:t>
                </m:r>
                <m:r>
                  <m:rPr>
                    <m:sty m:val="p"/>
                  </m:rPr>
                  <w:rPr>
                    <w:rFonts w:ascii="Cambria Math" w:hAnsi="Cambria Math"/>
                    <w:color w:val="000000" w:themeColor="text1"/>
                    <w:sz w:val="20"/>
                    <w:szCs w:val="20"/>
                  </w:rPr>
                  <m:t>±</m:t>
                </m:r>
                <m:r>
                  <w:rPr>
                    <w:rFonts w:ascii="Cambria Math" w:hAnsi="Cambria Math"/>
                    <w:color w:val="000000" w:themeColor="text1"/>
                    <w:sz w:val="20"/>
                    <w:szCs w:val="20"/>
                  </w:rPr>
                  <m:t>0.15</m:t>
                </m:r>
              </m:oMath>
            </m:oMathPara>
          </w:p>
        </w:tc>
        <w:tc>
          <w:tcPr>
            <w:tcW w:w="1419" w:type="dxa"/>
          </w:tcPr>
          <w:p w14:paraId="5EEFBF8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12.6</m:t>
                </m:r>
              </m:oMath>
            </m:oMathPara>
          </w:p>
        </w:tc>
        <w:tc>
          <w:tcPr>
            <w:tcW w:w="1419" w:type="dxa"/>
          </w:tcPr>
          <w:p w14:paraId="2E9354B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r w:rsidR="0070331D" w:rsidRPr="00CE7EB7" w14:paraId="32925BB1" w14:textId="77777777">
        <w:trPr>
          <w:jc w:val="center"/>
        </w:trPr>
        <w:tc>
          <w:tcPr>
            <w:tcW w:w="1419" w:type="dxa"/>
          </w:tcPr>
          <w:p w14:paraId="1BBD889A"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Franzosa</w:t>
            </w:r>
          </w:p>
        </w:tc>
        <w:tc>
          <w:tcPr>
            <w:tcW w:w="1419" w:type="dxa"/>
          </w:tcPr>
          <w:p w14:paraId="512E33E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220</m:t>
                </m:r>
              </m:oMath>
            </m:oMathPara>
          </w:p>
        </w:tc>
        <w:tc>
          <w:tcPr>
            <w:tcW w:w="1419" w:type="dxa"/>
          </w:tcPr>
          <w:p w14:paraId="748A8C2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115</m:t>
                </m:r>
              </m:oMath>
            </m:oMathPara>
          </w:p>
        </w:tc>
        <w:tc>
          <w:tcPr>
            <w:tcW w:w="1419" w:type="dxa"/>
          </w:tcPr>
          <w:p w14:paraId="022F561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6D0754F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3.50</m:t>
                </m:r>
                <m:r>
                  <m:rPr>
                    <m:sty m:val="p"/>
                  </m:rPr>
                  <w:rPr>
                    <w:rFonts w:ascii="Cambria Math" w:hAnsi="Cambria Math"/>
                    <w:color w:val="000000" w:themeColor="text1"/>
                    <w:sz w:val="20"/>
                    <w:szCs w:val="20"/>
                  </w:rPr>
                  <m:t>±</m:t>
                </m:r>
                <m:r>
                  <w:rPr>
                    <w:rFonts w:ascii="Cambria Math" w:hAnsi="Cambria Math"/>
                    <w:color w:val="000000" w:themeColor="text1"/>
                    <w:sz w:val="20"/>
                    <w:szCs w:val="20"/>
                  </w:rPr>
                  <m:t>0.28</m:t>
                </m:r>
              </m:oMath>
            </m:oMathPara>
          </w:p>
        </w:tc>
        <w:tc>
          <w:tcPr>
            <w:tcW w:w="1419" w:type="dxa"/>
          </w:tcPr>
          <w:p w14:paraId="4D52D3E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10.4</m:t>
                </m:r>
              </m:oMath>
            </m:oMathPara>
          </w:p>
        </w:tc>
        <w:tc>
          <w:tcPr>
            <w:tcW w:w="1419" w:type="dxa"/>
          </w:tcPr>
          <w:p w14:paraId="7D975B3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m:t>
                </m:r>
              </m:oMath>
            </m:oMathPara>
          </w:p>
        </w:tc>
      </w:tr>
      <w:tr w:rsidR="0070331D" w:rsidRPr="00CE7EB7" w14:paraId="5934AFF3" w14:textId="77777777">
        <w:trPr>
          <w:jc w:val="center"/>
        </w:trPr>
        <w:tc>
          <w:tcPr>
            <w:tcW w:w="1419" w:type="dxa"/>
          </w:tcPr>
          <w:p w14:paraId="33D45690"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He</w:t>
            </w:r>
          </w:p>
        </w:tc>
        <w:tc>
          <w:tcPr>
            <w:tcW w:w="1419" w:type="dxa"/>
          </w:tcPr>
          <w:p w14:paraId="7409B42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277</m:t>
                </m:r>
              </m:oMath>
            </m:oMathPara>
          </w:p>
        </w:tc>
        <w:tc>
          <w:tcPr>
            <w:tcW w:w="1419" w:type="dxa"/>
          </w:tcPr>
          <w:p w14:paraId="3351B80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56</m:t>
                </m:r>
              </m:oMath>
            </m:oMathPara>
          </w:p>
        </w:tc>
        <w:tc>
          <w:tcPr>
            <w:tcW w:w="1419" w:type="dxa"/>
          </w:tcPr>
          <w:p w14:paraId="610CC4D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41E975E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3.10</m:t>
                </m:r>
                <m:r>
                  <m:rPr>
                    <m:sty m:val="p"/>
                  </m:rPr>
                  <w:rPr>
                    <w:rFonts w:ascii="Cambria Math" w:hAnsi="Cambria Math"/>
                    <w:color w:val="000000" w:themeColor="text1"/>
                    <w:sz w:val="20"/>
                    <w:szCs w:val="20"/>
                  </w:rPr>
                  <m:t>±</m:t>
                </m:r>
                <m:r>
                  <w:rPr>
                    <w:rFonts w:ascii="Cambria Math" w:hAnsi="Cambria Math"/>
                    <w:color w:val="000000" w:themeColor="text1"/>
                    <w:sz w:val="20"/>
                    <w:szCs w:val="20"/>
                  </w:rPr>
                  <m:t>0.18</m:t>
                </m:r>
              </m:oMath>
            </m:oMathPara>
          </w:p>
        </w:tc>
        <w:tc>
          <w:tcPr>
            <w:tcW w:w="1419" w:type="dxa"/>
          </w:tcPr>
          <w:p w14:paraId="345DF9E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9.5</m:t>
                </m:r>
              </m:oMath>
            </m:oMathPara>
          </w:p>
        </w:tc>
        <w:tc>
          <w:tcPr>
            <w:tcW w:w="1419" w:type="dxa"/>
          </w:tcPr>
          <w:p w14:paraId="1449404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r w:rsidR="0070331D" w:rsidRPr="00CE7EB7" w14:paraId="0076B57D" w14:textId="77777777">
        <w:trPr>
          <w:jc w:val="center"/>
        </w:trPr>
        <w:tc>
          <w:tcPr>
            <w:tcW w:w="1419" w:type="dxa"/>
          </w:tcPr>
          <w:p w14:paraId="554EDF48"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Jacobs</w:t>
            </w:r>
          </w:p>
        </w:tc>
        <w:tc>
          <w:tcPr>
            <w:tcW w:w="1419" w:type="dxa"/>
          </w:tcPr>
          <w:p w14:paraId="4DD8BD7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90</m:t>
                </m:r>
              </m:oMath>
            </m:oMathPara>
          </w:p>
        </w:tc>
        <w:tc>
          <w:tcPr>
            <w:tcW w:w="1419" w:type="dxa"/>
          </w:tcPr>
          <w:p w14:paraId="0EE9AF8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85</m:t>
                </m:r>
              </m:oMath>
            </m:oMathPara>
          </w:p>
        </w:tc>
        <w:tc>
          <w:tcPr>
            <w:tcW w:w="1419" w:type="dxa"/>
          </w:tcPr>
          <w:p w14:paraId="35FF054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137AB36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4.05</m:t>
                </m:r>
                <m:r>
                  <m:rPr>
                    <m:sty m:val="p"/>
                  </m:rPr>
                  <w:rPr>
                    <w:rFonts w:ascii="Cambria Math" w:hAnsi="Cambria Math"/>
                    <w:color w:val="000000" w:themeColor="text1"/>
                    <w:sz w:val="20"/>
                    <w:szCs w:val="20"/>
                  </w:rPr>
                  <m:t>±</m:t>
                </m:r>
                <m:r>
                  <w:rPr>
                    <w:rFonts w:ascii="Cambria Math" w:hAnsi="Cambria Math"/>
                    <w:color w:val="000000" w:themeColor="text1"/>
                    <w:sz w:val="20"/>
                    <w:szCs w:val="20"/>
                  </w:rPr>
                  <m:t>0.28</m:t>
                </m:r>
              </m:oMath>
            </m:oMathPara>
          </w:p>
        </w:tc>
        <w:tc>
          <w:tcPr>
            <w:tcW w:w="1419" w:type="dxa"/>
          </w:tcPr>
          <w:p w14:paraId="6541A09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14.9</m:t>
                </m:r>
              </m:oMath>
            </m:oMathPara>
          </w:p>
        </w:tc>
        <w:tc>
          <w:tcPr>
            <w:tcW w:w="1419" w:type="dxa"/>
          </w:tcPr>
          <w:p w14:paraId="21BA3B0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m:t>
                </m:r>
              </m:oMath>
            </m:oMathPara>
          </w:p>
        </w:tc>
      </w:tr>
      <w:tr w:rsidR="0070331D" w:rsidRPr="00CE7EB7" w14:paraId="24EE8F2E" w14:textId="77777777">
        <w:trPr>
          <w:jc w:val="center"/>
        </w:trPr>
        <w:tc>
          <w:tcPr>
            <w:tcW w:w="1419" w:type="dxa"/>
          </w:tcPr>
          <w:p w14:paraId="651D3641"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Kang</w:t>
            </w:r>
          </w:p>
        </w:tc>
        <w:tc>
          <w:tcPr>
            <w:tcW w:w="1419" w:type="dxa"/>
          </w:tcPr>
          <w:p w14:paraId="2CB73E2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44</m:t>
                </m:r>
              </m:oMath>
            </m:oMathPara>
          </w:p>
        </w:tc>
        <w:tc>
          <w:tcPr>
            <w:tcW w:w="1419" w:type="dxa"/>
          </w:tcPr>
          <w:p w14:paraId="0CD7F14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78</m:t>
                </m:r>
              </m:oMath>
            </m:oMathPara>
          </w:p>
        </w:tc>
        <w:tc>
          <w:tcPr>
            <w:tcW w:w="1419" w:type="dxa"/>
          </w:tcPr>
          <w:p w14:paraId="534FF07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31</m:t>
                </m:r>
              </m:oMath>
            </m:oMathPara>
          </w:p>
        </w:tc>
        <w:tc>
          <w:tcPr>
            <w:tcW w:w="1419" w:type="dxa"/>
          </w:tcPr>
          <w:p w14:paraId="3CC987A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3.74</m:t>
                </m:r>
                <m:r>
                  <m:rPr>
                    <m:sty m:val="p"/>
                  </m:rPr>
                  <w:rPr>
                    <w:rFonts w:ascii="Cambria Math" w:hAnsi="Cambria Math"/>
                    <w:color w:val="000000" w:themeColor="text1"/>
                    <w:sz w:val="20"/>
                    <w:szCs w:val="20"/>
                  </w:rPr>
                  <m:t>±</m:t>
                </m:r>
                <m:r>
                  <w:rPr>
                    <w:rFonts w:ascii="Cambria Math" w:hAnsi="Cambria Math"/>
                    <w:color w:val="000000" w:themeColor="text1"/>
                    <w:sz w:val="20"/>
                    <w:szCs w:val="20"/>
                  </w:rPr>
                  <m:t>0.26</m:t>
                </m:r>
              </m:oMath>
            </m:oMathPara>
          </w:p>
        </w:tc>
        <w:tc>
          <w:tcPr>
            <w:tcW w:w="1419" w:type="dxa"/>
          </w:tcPr>
          <w:p w14:paraId="1A66243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8.0</m:t>
                </m:r>
              </m:oMath>
            </m:oMathPara>
          </w:p>
        </w:tc>
        <w:tc>
          <w:tcPr>
            <w:tcW w:w="1419" w:type="dxa"/>
          </w:tcPr>
          <w:p w14:paraId="5B88A9F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m:t>
                </m:r>
              </m:oMath>
            </m:oMathPara>
          </w:p>
        </w:tc>
      </w:tr>
      <w:tr w:rsidR="0070331D" w:rsidRPr="00CE7EB7" w14:paraId="0B49F316" w14:textId="77777777">
        <w:trPr>
          <w:jc w:val="center"/>
        </w:trPr>
        <w:tc>
          <w:tcPr>
            <w:tcW w:w="1419" w:type="dxa"/>
          </w:tcPr>
          <w:p w14:paraId="6EF78EA1"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Wandro</w:t>
            </w:r>
          </w:p>
        </w:tc>
        <w:tc>
          <w:tcPr>
            <w:tcW w:w="1419" w:type="dxa"/>
          </w:tcPr>
          <w:p w14:paraId="2A27BC2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75</m:t>
                </m:r>
              </m:oMath>
            </m:oMathPara>
          </w:p>
        </w:tc>
        <w:tc>
          <w:tcPr>
            <w:tcW w:w="1419" w:type="dxa"/>
          </w:tcPr>
          <w:p w14:paraId="516A4C8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29</m:t>
                </m:r>
              </m:oMath>
            </m:oMathPara>
          </w:p>
        </w:tc>
        <w:tc>
          <w:tcPr>
            <w:tcW w:w="1419" w:type="dxa"/>
          </w:tcPr>
          <w:p w14:paraId="7606DCD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0053F3D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1.43</m:t>
                </m:r>
                <m:r>
                  <m:rPr>
                    <m:sty m:val="p"/>
                  </m:rPr>
                  <w:rPr>
                    <w:rFonts w:ascii="Cambria Math" w:hAnsi="Cambria Math"/>
                    <w:color w:val="000000" w:themeColor="text1"/>
                    <w:sz w:val="20"/>
                    <w:szCs w:val="20"/>
                  </w:rPr>
                  <m:t>±</m:t>
                </m:r>
                <m:r>
                  <w:rPr>
                    <w:rFonts w:ascii="Cambria Math" w:hAnsi="Cambria Math"/>
                    <w:color w:val="000000" w:themeColor="text1"/>
                    <w:sz w:val="20"/>
                    <w:szCs w:val="20"/>
                  </w:rPr>
                  <m:t>0.07</m:t>
                </m:r>
              </m:oMath>
            </m:oMathPara>
          </w:p>
        </w:tc>
        <w:tc>
          <w:tcPr>
            <w:tcW w:w="1419" w:type="dxa"/>
          </w:tcPr>
          <w:p w14:paraId="2FBF163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9.0</m:t>
                </m:r>
              </m:oMath>
            </m:oMathPara>
          </w:p>
        </w:tc>
        <w:tc>
          <w:tcPr>
            <w:tcW w:w="1419" w:type="dxa"/>
          </w:tcPr>
          <w:p w14:paraId="50C406E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m:t>
                </m:r>
              </m:oMath>
            </m:oMathPara>
          </w:p>
        </w:tc>
      </w:tr>
      <w:tr w:rsidR="0070331D" w:rsidRPr="00CE7EB7" w14:paraId="002812CC" w14:textId="77777777">
        <w:trPr>
          <w:jc w:val="center"/>
        </w:trPr>
        <w:tc>
          <w:tcPr>
            <w:tcW w:w="1419" w:type="dxa"/>
          </w:tcPr>
          <w:p w14:paraId="2EFF4FAF"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Wang</w:t>
            </w:r>
          </w:p>
        </w:tc>
        <w:tc>
          <w:tcPr>
            <w:tcW w:w="1419" w:type="dxa"/>
          </w:tcPr>
          <w:p w14:paraId="13A0CB5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287</m:t>
                </m:r>
              </m:oMath>
            </m:oMathPara>
          </w:p>
        </w:tc>
        <w:tc>
          <w:tcPr>
            <w:tcW w:w="1419" w:type="dxa"/>
          </w:tcPr>
          <w:p w14:paraId="1AA659A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102</m:t>
                </m:r>
              </m:oMath>
            </m:oMathPara>
          </w:p>
        </w:tc>
        <w:tc>
          <w:tcPr>
            <w:tcW w:w="1419" w:type="dxa"/>
          </w:tcPr>
          <w:p w14:paraId="7AC9E4E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2E5E990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3.91</m:t>
                </m:r>
                <m:r>
                  <m:rPr>
                    <m:sty m:val="p"/>
                  </m:rPr>
                  <w:rPr>
                    <w:rFonts w:ascii="Cambria Math" w:hAnsi="Cambria Math"/>
                    <w:color w:val="000000" w:themeColor="text1"/>
                    <w:sz w:val="20"/>
                    <w:szCs w:val="20"/>
                  </w:rPr>
                  <m:t>±</m:t>
                </m:r>
                <m:r>
                  <w:rPr>
                    <w:rFonts w:ascii="Cambria Math" w:hAnsi="Cambria Math"/>
                    <w:color w:val="000000" w:themeColor="text1"/>
                    <w:sz w:val="20"/>
                    <w:szCs w:val="20"/>
                  </w:rPr>
                  <m:t>0.30</m:t>
                </m:r>
              </m:oMath>
            </m:oMathPara>
          </w:p>
        </w:tc>
        <w:tc>
          <w:tcPr>
            <w:tcW w:w="1419" w:type="dxa"/>
          </w:tcPr>
          <w:p w14:paraId="7E22779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12.0</m:t>
                </m:r>
              </m:oMath>
            </m:oMathPara>
          </w:p>
        </w:tc>
        <w:tc>
          <w:tcPr>
            <w:tcW w:w="1419" w:type="dxa"/>
          </w:tcPr>
          <w:p w14:paraId="0B52BCF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r w:rsidR="0070331D" w:rsidRPr="00CE7EB7" w14:paraId="6A8364BD" w14:textId="77777777">
        <w:trPr>
          <w:jc w:val="center"/>
        </w:trPr>
        <w:tc>
          <w:tcPr>
            <w:tcW w:w="1419" w:type="dxa"/>
          </w:tcPr>
          <w:p w14:paraId="1C65BF07"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Yachida</w:t>
            </w:r>
          </w:p>
        </w:tc>
        <w:tc>
          <w:tcPr>
            <w:tcW w:w="1419" w:type="dxa"/>
          </w:tcPr>
          <w:p w14:paraId="065E3BC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347</m:t>
                </m:r>
              </m:oMath>
            </m:oMathPara>
          </w:p>
        </w:tc>
        <w:tc>
          <w:tcPr>
            <w:tcW w:w="1419" w:type="dxa"/>
          </w:tcPr>
          <w:p w14:paraId="6826EC3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90</m:t>
                </m:r>
              </m:oMath>
            </m:oMathPara>
          </w:p>
        </w:tc>
        <w:tc>
          <w:tcPr>
            <w:tcW w:w="1419" w:type="dxa"/>
          </w:tcPr>
          <w:p w14:paraId="384023E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419" w:type="dxa"/>
          </w:tcPr>
          <w:p w14:paraId="0FADA09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3.46</m:t>
                </m:r>
                <m:r>
                  <m:rPr>
                    <m:sty m:val="p"/>
                  </m:rPr>
                  <w:rPr>
                    <w:rFonts w:ascii="Cambria Math" w:hAnsi="Cambria Math"/>
                    <w:color w:val="000000" w:themeColor="text1"/>
                    <w:sz w:val="20"/>
                    <w:szCs w:val="20"/>
                  </w:rPr>
                  <m:t>±</m:t>
                </m:r>
                <m:r>
                  <w:rPr>
                    <w:rFonts w:ascii="Cambria Math" w:hAnsi="Cambria Math"/>
                    <w:color w:val="000000" w:themeColor="text1"/>
                    <w:sz w:val="20"/>
                    <w:szCs w:val="20"/>
                  </w:rPr>
                  <m:t>0.21</m:t>
                </m:r>
              </m:oMath>
            </m:oMathPara>
          </w:p>
        </w:tc>
        <w:tc>
          <w:tcPr>
            <w:tcW w:w="1419" w:type="dxa"/>
          </w:tcPr>
          <w:p w14:paraId="12F7AF7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13.5</m:t>
                </m:r>
              </m:oMath>
            </m:oMathPara>
          </w:p>
        </w:tc>
        <w:tc>
          <w:tcPr>
            <w:tcW w:w="1419" w:type="dxa"/>
          </w:tcPr>
          <w:p w14:paraId="4313D29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m:t>
                </m:r>
              </m:oMath>
            </m:oMathPara>
          </w:p>
        </w:tc>
      </w:tr>
    </w:tbl>
    <w:p w14:paraId="4DBC9E18" w14:textId="77777777" w:rsidR="0070331D" w:rsidRPr="00CE7EB7" w:rsidRDefault="006D3DA6">
      <w:pPr>
        <w:spacing w:line="480" w:lineRule="auto"/>
        <w:rPr>
          <w:rFonts w:ascii="Aptos" w:hAnsi="Aptos"/>
          <w:color w:val="000000" w:themeColor="text1"/>
        </w:rPr>
      </w:pPr>
      <w:r w:rsidRPr="00CE7EB7">
        <w:rPr>
          <w:rFonts w:ascii="Aptos" w:hAnsi="Aptos"/>
          <w:noProof/>
          <w:color w:val="000000" w:themeColor="text1"/>
        </w:rPr>
        <w:lastRenderedPageBreak/>
        <w:drawing>
          <wp:inline distT="0" distB="0" distL="0" distR="0" wp14:anchorId="652DE810" wp14:editId="2D2CA241">
            <wp:extent cx="5212080" cy="3608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A_S1_niche_rrr.png"/>
                    <pic:cNvPicPr/>
                  </pic:nvPicPr>
                  <pic:blipFill>
                    <a:blip r:embed="rId8"/>
                    <a:stretch>
                      <a:fillRect/>
                    </a:stretch>
                  </pic:blipFill>
                  <pic:spPr>
                    <a:xfrm>
                      <a:off x="0" y="0"/>
                      <a:ext cx="5212080" cy="3608363"/>
                    </a:xfrm>
                    <a:prstGeom prst="rect">
                      <a:avLst/>
                    </a:prstGeom>
                  </pic:spPr>
                </pic:pic>
              </a:graphicData>
            </a:graphic>
          </wp:inline>
        </w:drawing>
      </w:r>
    </w:p>
    <w:p w14:paraId="5809ED16" w14:textId="77777777" w:rsidR="0070331D" w:rsidRPr="00CE7EB7" w:rsidRDefault="006D3DA6">
      <w:pPr>
        <w:spacing w:line="480" w:lineRule="auto"/>
        <w:rPr>
          <w:rFonts w:ascii="Aptos" w:hAnsi="Aptos"/>
          <w:color w:val="000000" w:themeColor="text1"/>
        </w:rPr>
      </w:pPr>
      <w:r w:rsidRPr="00CE7EB7">
        <w:rPr>
          <w:rFonts w:ascii="Aptos" w:hAnsi="Aptos"/>
          <w:b/>
          <w:bCs/>
        </w:rPr>
        <w:t>Supplementary Fig. 1</w:t>
      </w:r>
      <w:r w:rsidRPr="00CE7EB7">
        <w:rPr>
          <w:rFonts w:ascii="Aptos" w:hAnsi="Aptos"/>
          <w:color w:val="000000" w:themeColor="text1"/>
        </w:rPr>
        <w:t xml:space="preserve"> Effective niche dimension and predictive RRR dimension order the same eight cohorts differently.</w:t>
      </w:r>
    </w:p>
    <w:p w14:paraId="0FD95430" w14:textId="77777777" w:rsidR="003310A9" w:rsidRPr="00CE7EB7" w:rsidRDefault="00235995">
      <w:pPr>
        <w:pStyle w:val="Heading2"/>
        <w:spacing w:before="0"/>
        <w:rPr>
          <w:rFonts w:ascii="Aptos" w:hAnsi="Aptos"/>
        </w:rPr>
      </w:pPr>
      <w:r w:rsidRPr="00CE7EB7">
        <w:rPr>
          <w:rFonts w:ascii="Aptos" w:hAnsi="Aptos"/>
          <w:sz w:val="21"/>
        </w:rPr>
        <w:t>Sample-size-matched rank-selection calibration</w:t>
      </w:r>
    </w:p>
    <w:p w14:paraId="1F7F7E32"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Synthetic coefficient matrices used twenty-four predictors and twenty-four outcomes with true rank ten and equal-strength nonzero directions. Each condition used one hundred independent datasets. The first tested population signal at which median selected rank reached at least five depended strongly on the rank-selection sample size.</w:t>
      </w:r>
    </w:p>
    <w:p w14:paraId="791905F3" w14:textId="77777777" w:rsidR="003310A9" w:rsidRPr="00CE7EB7" w:rsidRDefault="00235995">
      <w:pPr>
        <w:spacing w:line="480" w:lineRule="auto"/>
        <w:rPr>
          <w:rFonts w:ascii="Aptos" w:hAnsi="Aptos"/>
        </w:rPr>
      </w:pPr>
      <w:r w:rsidRPr="00CE7EB7">
        <w:rPr>
          <w:rFonts w:ascii="Aptos" w:hAnsi="Aptos"/>
          <w:b/>
          <w:bCs/>
        </w:rPr>
        <w:t>Supplementary Table 4</w:t>
      </w:r>
      <w:r w:rsidRPr="00CE7EB7">
        <w:rPr>
          <w:rFonts w:ascii="Aptos" w:hAnsi="Aptos"/>
        </w:rPr>
        <w:t xml:space="preserve"> Sample-size-matched calibration for true rank ten. Entries are median selected ranks across one hundred independent datasets. Rank-selection sample size is the number of observations available to the five-fold inner cross-validation. Population signal is the fraction of outcome variance carried by the complete low-rank term; with ten equal-strength directions the per-direction share is one tenth of that 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900"/>
        <w:gridCol w:w="900"/>
        <w:gridCol w:w="900"/>
        <w:gridCol w:w="900"/>
        <w:gridCol w:w="900"/>
      </w:tblGrid>
      <w:tr w:rsidR="003310A9" w:rsidRPr="00CE7EB7" w14:paraId="47656662" w14:textId="77777777">
        <w:trPr>
          <w:cantSplit/>
          <w:tblHeader/>
        </w:trPr>
        <w:tc>
          <w:tcPr>
            <w:tcW w:w="2600" w:type="dxa"/>
            <w:shd w:val="clear" w:color="auto" w:fill="E7E6E6"/>
          </w:tcPr>
          <w:p w14:paraId="5006278C"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Cohort</w:t>
            </w:r>
          </w:p>
        </w:tc>
        <w:tc>
          <w:tcPr>
            <w:tcW w:w="1500" w:type="dxa"/>
            <w:shd w:val="clear" w:color="auto" w:fill="E7E6E6"/>
          </w:tcPr>
          <w:p w14:paraId="172811D5"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Rank-selection n</w:t>
            </w:r>
          </w:p>
        </w:tc>
        <w:tc>
          <w:tcPr>
            <w:tcW w:w="900" w:type="dxa"/>
            <w:shd w:val="clear" w:color="auto" w:fill="E7E6E6"/>
          </w:tcPr>
          <w:p w14:paraId="7740E866"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0.10</w:t>
            </w:r>
          </w:p>
        </w:tc>
        <w:tc>
          <w:tcPr>
            <w:tcW w:w="900" w:type="dxa"/>
            <w:shd w:val="clear" w:color="auto" w:fill="E7E6E6"/>
          </w:tcPr>
          <w:p w14:paraId="102090F6"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0.15</w:t>
            </w:r>
          </w:p>
        </w:tc>
        <w:tc>
          <w:tcPr>
            <w:tcW w:w="900" w:type="dxa"/>
            <w:shd w:val="clear" w:color="auto" w:fill="E7E6E6"/>
          </w:tcPr>
          <w:p w14:paraId="4C65E33D"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0.20</w:t>
            </w:r>
          </w:p>
        </w:tc>
        <w:tc>
          <w:tcPr>
            <w:tcW w:w="900" w:type="dxa"/>
            <w:shd w:val="clear" w:color="auto" w:fill="E7E6E6"/>
          </w:tcPr>
          <w:p w14:paraId="7BCB8C00"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0.30</w:t>
            </w:r>
          </w:p>
        </w:tc>
        <w:tc>
          <w:tcPr>
            <w:tcW w:w="900" w:type="dxa"/>
            <w:shd w:val="clear" w:color="auto" w:fill="E7E6E6"/>
          </w:tcPr>
          <w:p w14:paraId="4AC6CAF8"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0.50</w:t>
            </w:r>
          </w:p>
        </w:tc>
      </w:tr>
      <w:tr w:rsidR="003310A9" w:rsidRPr="00CE7EB7" w14:paraId="5615EA85" w14:textId="77777777">
        <w:trPr>
          <w:cantSplit/>
        </w:trPr>
        <w:tc>
          <w:tcPr>
            <w:tcW w:w="2600" w:type="dxa"/>
          </w:tcPr>
          <w:p w14:paraId="181592B9" w14:textId="77777777" w:rsidR="003310A9" w:rsidRPr="00CE7EB7" w:rsidRDefault="00235995">
            <w:pPr>
              <w:spacing w:after="0" w:line="240" w:lineRule="auto"/>
              <w:rPr>
                <w:rFonts w:ascii="Aptos" w:hAnsi="Aptos"/>
                <w:sz w:val="20"/>
                <w:szCs w:val="20"/>
              </w:rPr>
            </w:pPr>
            <w:r w:rsidRPr="00CE7EB7">
              <w:rPr>
                <w:rFonts w:ascii="Aptos" w:hAnsi="Aptos"/>
                <w:sz w:val="20"/>
                <w:szCs w:val="20"/>
              </w:rPr>
              <w:t>Kang autism</w:t>
            </w:r>
          </w:p>
        </w:tc>
        <w:tc>
          <w:tcPr>
            <w:tcW w:w="1500" w:type="dxa"/>
          </w:tcPr>
          <w:p w14:paraId="0EAA83E0" w14:textId="77777777" w:rsidR="003310A9" w:rsidRPr="00CE7EB7" w:rsidRDefault="00235995">
            <w:pPr>
              <w:spacing w:after="0" w:line="240" w:lineRule="auto"/>
              <w:rPr>
                <w:rFonts w:ascii="Aptos" w:hAnsi="Aptos"/>
                <w:sz w:val="20"/>
                <w:szCs w:val="20"/>
              </w:rPr>
            </w:pPr>
            <w:r w:rsidRPr="00CE7EB7">
              <w:rPr>
                <w:rFonts w:ascii="Aptos" w:hAnsi="Aptos"/>
                <w:sz w:val="20"/>
                <w:szCs w:val="20"/>
              </w:rPr>
              <w:t>35</w:t>
            </w:r>
          </w:p>
        </w:tc>
        <w:tc>
          <w:tcPr>
            <w:tcW w:w="900" w:type="dxa"/>
          </w:tcPr>
          <w:p w14:paraId="3E91D27C"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7B44BC08"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16EE68B5"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5333AD83" w14:textId="77777777" w:rsidR="003310A9" w:rsidRPr="00CE7EB7" w:rsidRDefault="00235995">
            <w:pPr>
              <w:spacing w:after="0" w:line="240" w:lineRule="auto"/>
              <w:rPr>
                <w:rFonts w:ascii="Aptos" w:hAnsi="Aptos"/>
                <w:sz w:val="20"/>
                <w:szCs w:val="20"/>
              </w:rPr>
            </w:pPr>
            <w:r w:rsidRPr="00CE7EB7">
              <w:rPr>
                <w:rFonts w:ascii="Aptos" w:hAnsi="Aptos"/>
                <w:sz w:val="20"/>
                <w:szCs w:val="20"/>
              </w:rPr>
              <w:t>2</w:t>
            </w:r>
          </w:p>
        </w:tc>
        <w:tc>
          <w:tcPr>
            <w:tcW w:w="900" w:type="dxa"/>
          </w:tcPr>
          <w:p w14:paraId="0094588E"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3D86A42B" w14:textId="77777777">
        <w:trPr>
          <w:cantSplit/>
        </w:trPr>
        <w:tc>
          <w:tcPr>
            <w:tcW w:w="2600" w:type="dxa"/>
          </w:tcPr>
          <w:p w14:paraId="21D2CD3B" w14:textId="77777777" w:rsidR="003310A9" w:rsidRPr="00CE7EB7" w:rsidRDefault="00235995">
            <w:pPr>
              <w:spacing w:after="0" w:line="240" w:lineRule="auto"/>
              <w:rPr>
                <w:rFonts w:ascii="Aptos" w:hAnsi="Aptos"/>
                <w:sz w:val="20"/>
                <w:szCs w:val="20"/>
              </w:rPr>
            </w:pPr>
            <w:r w:rsidRPr="00CE7EB7">
              <w:rPr>
                <w:rFonts w:ascii="Aptos" w:hAnsi="Aptos"/>
                <w:sz w:val="20"/>
                <w:szCs w:val="20"/>
              </w:rPr>
              <w:t>Wandro preterms</w:t>
            </w:r>
          </w:p>
        </w:tc>
        <w:tc>
          <w:tcPr>
            <w:tcW w:w="1500" w:type="dxa"/>
          </w:tcPr>
          <w:p w14:paraId="2F18185E" w14:textId="77777777" w:rsidR="003310A9" w:rsidRPr="00CE7EB7" w:rsidRDefault="00235995">
            <w:pPr>
              <w:spacing w:after="0" w:line="240" w:lineRule="auto"/>
              <w:rPr>
                <w:rFonts w:ascii="Aptos" w:hAnsi="Aptos"/>
                <w:sz w:val="20"/>
                <w:szCs w:val="20"/>
              </w:rPr>
            </w:pPr>
            <w:r w:rsidRPr="00CE7EB7">
              <w:rPr>
                <w:rFonts w:ascii="Aptos" w:hAnsi="Aptos"/>
                <w:sz w:val="20"/>
                <w:szCs w:val="20"/>
              </w:rPr>
              <w:t>60</w:t>
            </w:r>
          </w:p>
        </w:tc>
        <w:tc>
          <w:tcPr>
            <w:tcW w:w="900" w:type="dxa"/>
          </w:tcPr>
          <w:p w14:paraId="4A6B9003"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1B808FF8"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2E1FDE82"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17A7EAA9" w14:textId="77777777" w:rsidR="003310A9" w:rsidRPr="00CE7EB7" w:rsidRDefault="00235995">
            <w:pPr>
              <w:spacing w:after="0" w:line="240" w:lineRule="auto"/>
              <w:rPr>
                <w:rFonts w:ascii="Aptos" w:hAnsi="Aptos"/>
                <w:sz w:val="20"/>
                <w:szCs w:val="20"/>
              </w:rPr>
            </w:pPr>
            <w:r w:rsidRPr="00CE7EB7">
              <w:rPr>
                <w:rFonts w:ascii="Aptos" w:hAnsi="Aptos"/>
                <w:sz w:val="20"/>
                <w:szCs w:val="20"/>
              </w:rPr>
              <w:t>7</w:t>
            </w:r>
          </w:p>
        </w:tc>
        <w:tc>
          <w:tcPr>
            <w:tcW w:w="900" w:type="dxa"/>
          </w:tcPr>
          <w:p w14:paraId="1FE2092C"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34054377" w14:textId="77777777">
        <w:trPr>
          <w:cantSplit/>
        </w:trPr>
        <w:tc>
          <w:tcPr>
            <w:tcW w:w="2600" w:type="dxa"/>
          </w:tcPr>
          <w:p w14:paraId="7154CE86" w14:textId="77777777" w:rsidR="003310A9" w:rsidRPr="00CE7EB7" w:rsidRDefault="00235995">
            <w:pPr>
              <w:spacing w:after="0" w:line="240" w:lineRule="auto"/>
              <w:rPr>
                <w:rFonts w:ascii="Aptos" w:hAnsi="Aptos"/>
                <w:sz w:val="20"/>
                <w:szCs w:val="20"/>
              </w:rPr>
            </w:pPr>
            <w:r w:rsidRPr="00CE7EB7">
              <w:rPr>
                <w:rFonts w:ascii="Aptos" w:hAnsi="Aptos"/>
                <w:sz w:val="20"/>
                <w:szCs w:val="20"/>
              </w:rPr>
              <w:lastRenderedPageBreak/>
              <w:t>Jacobs IBD families</w:t>
            </w:r>
          </w:p>
        </w:tc>
        <w:tc>
          <w:tcPr>
            <w:tcW w:w="1500" w:type="dxa"/>
          </w:tcPr>
          <w:p w14:paraId="5D83E0C4" w14:textId="77777777" w:rsidR="003310A9" w:rsidRPr="00CE7EB7" w:rsidRDefault="00235995">
            <w:pPr>
              <w:spacing w:after="0" w:line="240" w:lineRule="auto"/>
              <w:rPr>
                <w:rFonts w:ascii="Aptos" w:hAnsi="Aptos"/>
                <w:sz w:val="20"/>
                <w:szCs w:val="20"/>
              </w:rPr>
            </w:pPr>
            <w:r w:rsidRPr="00CE7EB7">
              <w:rPr>
                <w:rFonts w:ascii="Aptos" w:hAnsi="Aptos"/>
                <w:sz w:val="20"/>
                <w:szCs w:val="20"/>
              </w:rPr>
              <w:t>72</w:t>
            </w:r>
          </w:p>
        </w:tc>
        <w:tc>
          <w:tcPr>
            <w:tcW w:w="900" w:type="dxa"/>
          </w:tcPr>
          <w:p w14:paraId="2752A33C"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284CFB15"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2C4916A4" w14:textId="77777777" w:rsidR="003310A9" w:rsidRPr="00CE7EB7" w:rsidRDefault="00235995">
            <w:pPr>
              <w:spacing w:after="0" w:line="240" w:lineRule="auto"/>
              <w:rPr>
                <w:rFonts w:ascii="Aptos" w:hAnsi="Aptos"/>
                <w:sz w:val="20"/>
                <w:szCs w:val="20"/>
              </w:rPr>
            </w:pPr>
            <w:r w:rsidRPr="00CE7EB7">
              <w:rPr>
                <w:rFonts w:ascii="Aptos" w:hAnsi="Aptos"/>
                <w:sz w:val="20"/>
                <w:szCs w:val="20"/>
              </w:rPr>
              <w:t>1</w:t>
            </w:r>
          </w:p>
        </w:tc>
        <w:tc>
          <w:tcPr>
            <w:tcW w:w="900" w:type="dxa"/>
          </w:tcPr>
          <w:p w14:paraId="0AF66C65" w14:textId="77777777" w:rsidR="003310A9" w:rsidRPr="00CE7EB7" w:rsidRDefault="00235995">
            <w:pPr>
              <w:spacing w:after="0" w:line="240" w:lineRule="auto"/>
              <w:rPr>
                <w:rFonts w:ascii="Aptos" w:hAnsi="Aptos"/>
                <w:sz w:val="20"/>
                <w:szCs w:val="20"/>
              </w:rPr>
            </w:pPr>
            <w:r w:rsidRPr="00CE7EB7">
              <w:rPr>
                <w:rFonts w:ascii="Aptos" w:hAnsi="Aptos"/>
                <w:sz w:val="20"/>
                <w:szCs w:val="20"/>
              </w:rPr>
              <w:t>8</w:t>
            </w:r>
          </w:p>
        </w:tc>
        <w:tc>
          <w:tcPr>
            <w:tcW w:w="900" w:type="dxa"/>
          </w:tcPr>
          <w:p w14:paraId="2AA917DD"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05CF6FCF" w14:textId="77777777">
        <w:trPr>
          <w:cantSplit/>
        </w:trPr>
        <w:tc>
          <w:tcPr>
            <w:tcW w:w="2600" w:type="dxa"/>
          </w:tcPr>
          <w:p w14:paraId="48F9FF53" w14:textId="77777777" w:rsidR="003310A9" w:rsidRPr="00CE7EB7" w:rsidRDefault="00235995">
            <w:pPr>
              <w:spacing w:after="0" w:line="240" w:lineRule="auto"/>
              <w:rPr>
                <w:rFonts w:ascii="Aptos" w:hAnsi="Aptos"/>
                <w:sz w:val="20"/>
                <w:szCs w:val="20"/>
              </w:rPr>
            </w:pPr>
            <w:r w:rsidRPr="00CE7EB7">
              <w:rPr>
                <w:rFonts w:ascii="Aptos" w:hAnsi="Aptos"/>
                <w:sz w:val="20"/>
                <w:szCs w:val="20"/>
              </w:rPr>
              <w:t>Erawijantari gastric cancer</w:t>
            </w:r>
          </w:p>
        </w:tc>
        <w:tc>
          <w:tcPr>
            <w:tcW w:w="1500" w:type="dxa"/>
          </w:tcPr>
          <w:p w14:paraId="39C4FDDA" w14:textId="77777777" w:rsidR="003310A9" w:rsidRPr="00CE7EB7" w:rsidRDefault="00235995">
            <w:pPr>
              <w:spacing w:after="0" w:line="240" w:lineRule="auto"/>
              <w:rPr>
                <w:rFonts w:ascii="Aptos" w:hAnsi="Aptos"/>
                <w:sz w:val="20"/>
                <w:szCs w:val="20"/>
              </w:rPr>
            </w:pPr>
            <w:r w:rsidRPr="00CE7EB7">
              <w:rPr>
                <w:rFonts w:ascii="Aptos" w:hAnsi="Aptos"/>
                <w:sz w:val="20"/>
                <w:szCs w:val="20"/>
              </w:rPr>
              <w:t>77</w:t>
            </w:r>
          </w:p>
        </w:tc>
        <w:tc>
          <w:tcPr>
            <w:tcW w:w="900" w:type="dxa"/>
          </w:tcPr>
          <w:p w14:paraId="554B60D9"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47CF37B4"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7398CA2E" w14:textId="77777777" w:rsidR="003310A9" w:rsidRPr="00CE7EB7" w:rsidRDefault="00235995">
            <w:pPr>
              <w:spacing w:after="0" w:line="240" w:lineRule="auto"/>
              <w:rPr>
                <w:rFonts w:ascii="Aptos" w:hAnsi="Aptos"/>
                <w:sz w:val="20"/>
                <w:szCs w:val="20"/>
              </w:rPr>
            </w:pPr>
            <w:r w:rsidRPr="00CE7EB7">
              <w:rPr>
                <w:rFonts w:ascii="Aptos" w:hAnsi="Aptos"/>
                <w:sz w:val="20"/>
                <w:szCs w:val="20"/>
              </w:rPr>
              <w:t>1</w:t>
            </w:r>
          </w:p>
        </w:tc>
        <w:tc>
          <w:tcPr>
            <w:tcW w:w="900" w:type="dxa"/>
          </w:tcPr>
          <w:p w14:paraId="47914617" w14:textId="77777777" w:rsidR="003310A9" w:rsidRPr="00CE7EB7" w:rsidRDefault="00235995">
            <w:pPr>
              <w:spacing w:after="0" w:line="240" w:lineRule="auto"/>
              <w:rPr>
                <w:rFonts w:ascii="Aptos" w:hAnsi="Aptos"/>
                <w:sz w:val="20"/>
                <w:szCs w:val="20"/>
              </w:rPr>
            </w:pPr>
            <w:r w:rsidRPr="00CE7EB7">
              <w:rPr>
                <w:rFonts w:ascii="Aptos" w:hAnsi="Aptos"/>
                <w:sz w:val="20"/>
                <w:szCs w:val="20"/>
              </w:rPr>
              <w:t>9</w:t>
            </w:r>
          </w:p>
        </w:tc>
        <w:tc>
          <w:tcPr>
            <w:tcW w:w="900" w:type="dxa"/>
          </w:tcPr>
          <w:p w14:paraId="2B3AB21B"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4226F207" w14:textId="77777777">
        <w:trPr>
          <w:cantSplit/>
        </w:trPr>
        <w:tc>
          <w:tcPr>
            <w:tcW w:w="2600" w:type="dxa"/>
          </w:tcPr>
          <w:p w14:paraId="0200FBF2" w14:textId="77777777" w:rsidR="003310A9" w:rsidRPr="00CE7EB7" w:rsidRDefault="00235995">
            <w:pPr>
              <w:spacing w:after="0" w:line="240" w:lineRule="auto"/>
              <w:rPr>
                <w:rFonts w:ascii="Aptos" w:hAnsi="Aptos"/>
                <w:sz w:val="20"/>
                <w:szCs w:val="20"/>
              </w:rPr>
            </w:pPr>
            <w:r w:rsidRPr="00CE7EB7">
              <w:rPr>
                <w:rFonts w:ascii="Aptos" w:hAnsi="Aptos"/>
                <w:sz w:val="20"/>
                <w:szCs w:val="20"/>
              </w:rPr>
              <w:t>Franzosa IBD</w:t>
            </w:r>
          </w:p>
        </w:tc>
        <w:tc>
          <w:tcPr>
            <w:tcW w:w="1500" w:type="dxa"/>
          </w:tcPr>
          <w:p w14:paraId="7ACE18AD" w14:textId="77777777" w:rsidR="003310A9" w:rsidRPr="00CE7EB7" w:rsidRDefault="00235995">
            <w:pPr>
              <w:spacing w:after="0" w:line="240" w:lineRule="auto"/>
              <w:rPr>
                <w:rFonts w:ascii="Aptos" w:hAnsi="Aptos"/>
                <w:sz w:val="20"/>
                <w:szCs w:val="20"/>
              </w:rPr>
            </w:pPr>
            <w:r w:rsidRPr="00CE7EB7">
              <w:rPr>
                <w:rFonts w:ascii="Aptos" w:hAnsi="Aptos"/>
                <w:sz w:val="20"/>
                <w:szCs w:val="20"/>
              </w:rPr>
              <w:t>176</w:t>
            </w:r>
          </w:p>
        </w:tc>
        <w:tc>
          <w:tcPr>
            <w:tcW w:w="900" w:type="dxa"/>
          </w:tcPr>
          <w:p w14:paraId="4F9593AB"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900" w:type="dxa"/>
          </w:tcPr>
          <w:p w14:paraId="384EEA67" w14:textId="77777777" w:rsidR="003310A9" w:rsidRPr="00CE7EB7" w:rsidRDefault="00235995">
            <w:pPr>
              <w:spacing w:after="0" w:line="240" w:lineRule="auto"/>
              <w:rPr>
                <w:rFonts w:ascii="Aptos" w:hAnsi="Aptos"/>
                <w:sz w:val="20"/>
                <w:szCs w:val="20"/>
              </w:rPr>
            </w:pPr>
            <w:r w:rsidRPr="00CE7EB7">
              <w:rPr>
                <w:rFonts w:ascii="Aptos" w:hAnsi="Aptos"/>
                <w:sz w:val="20"/>
                <w:szCs w:val="20"/>
              </w:rPr>
              <w:t>9</w:t>
            </w:r>
          </w:p>
        </w:tc>
        <w:tc>
          <w:tcPr>
            <w:tcW w:w="900" w:type="dxa"/>
          </w:tcPr>
          <w:p w14:paraId="46833EBE"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340AEA3F"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21C949F5"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0E16F0D1" w14:textId="77777777">
        <w:trPr>
          <w:cantSplit/>
        </w:trPr>
        <w:tc>
          <w:tcPr>
            <w:tcW w:w="2600" w:type="dxa"/>
          </w:tcPr>
          <w:p w14:paraId="6B1FCEF5" w14:textId="77777777" w:rsidR="003310A9" w:rsidRPr="00CE7EB7" w:rsidRDefault="00235995">
            <w:pPr>
              <w:spacing w:after="0" w:line="240" w:lineRule="auto"/>
              <w:rPr>
                <w:rFonts w:ascii="Aptos" w:hAnsi="Aptos"/>
                <w:sz w:val="20"/>
                <w:szCs w:val="20"/>
              </w:rPr>
            </w:pPr>
            <w:r w:rsidRPr="00CE7EB7">
              <w:rPr>
                <w:rFonts w:ascii="Aptos" w:hAnsi="Aptos"/>
                <w:sz w:val="20"/>
                <w:szCs w:val="20"/>
              </w:rPr>
              <w:t>He infants</w:t>
            </w:r>
          </w:p>
        </w:tc>
        <w:tc>
          <w:tcPr>
            <w:tcW w:w="1500" w:type="dxa"/>
          </w:tcPr>
          <w:p w14:paraId="3E5373BB" w14:textId="77777777" w:rsidR="003310A9" w:rsidRPr="00CE7EB7" w:rsidRDefault="00235995">
            <w:pPr>
              <w:spacing w:after="0" w:line="240" w:lineRule="auto"/>
              <w:rPr>
                <w:rFonts w:ascii="Aptos" w:hAnsi="Aptos"/>
                <w:sz w:val="20"/>
                <w:szCs w:val="20"/>
              </w:rPr>
            </w:pPr>
            <w:r w:rsidRPr="00CE7EB7">
              <w:rPr>
                <w:rFonts w:ascii="Aptos" w:hAnsi="Aptos"/>
                <w:sz w:val="20"/>
                <w:szCs w:val="20"/>
              </w:rPr>
              <w:t>222</w:t>
            </w:r>
          </w:p>
        </w:tc>
        <w:tc>
          <w:tcPr>
            <w:tcW w:w="900" w:type="dxa"/>
          </w:tcPr>
          <w:p w14:paraId="228BA7F9" w14:textId="77777777" w:rsidR="003310A9" w:rsidRPr="00CE7EB7" w:rsidRDefault="00235995">
            <w:pPr>
              <w:spacing w:after="0" w:line="240" w:lineRule="auto"/>
              <w:rPr>
                <w:rFonts w:ascii="Aptos" w:hAnsi="Aptos"/>
                <w:sz w:val="20"/>
                <w:szCs w:val="20"/>
              </w:rPr>
            </w:pPr>
            <w:r w:rsidRPr="00CE7EB7">
              <w:rPr>
                <w:rFonts w:ascii="Aptos" w:hAnsi="Aptos"/>
                <w:sz w:val="20"/>
                <w:szCs w:val="20"/>
              </w:rPr>
              <w:t>4</w:t>
            </w:r>
          </w:p>
        </w:tc>
        <w:tc>
          <w:tcPr>
            <w:tcW w:w="900" w:type="dxa"/>
          </w:tcPr>
          <w:p w14:paraId="62B7C988"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3FBB4A96"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0F2930B7"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3A3E9640"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3C8A2F3D" w14:textId="77777777">
        <w:trPr>
          <w:cantSplit/>
        </w:trPr>
        <w:tc>
          <w:tcPr>
            <w:tcW w:w="2600" w:type="dxa"/>
          </w:tcPr>
          <w:p w14:paraId="2121340E" w14:textId="77777777" w:rsidR="003310A9" w:rsidRPr="00CE7EB7" w:rsidRDefault="00235995">
            <w:pPr>
              <w:spacing w:after="0" w:line="240" w:lineRule="auto"/>
              <w:rPr>
                <w:rFonts w:ascii="Aptos" w:hAnsi="Aptos"/>
                <w:sz w:val="20"/>
                <w:szCs w:val="20"/>
              </w:rPr>
            </w:pPr>
            <w:r w:rsidRPr="00CE7EB7">
              <w:rPr>
                <w:rFonts w:ascii="Aptos" w:hAnsi="Aptos"/>
                <w:sz w:val="20"/>
                <w:szCs w:val="20"/>
              </w:rPr>
              <w:t>Wang ESRD</w:t>
            </w:r>
          </w:p>
        </w:tc>
        <w:tc>
          <w:tcPr>
            <w:tcW w:w="1500" w:type="dxa"/>
          </w:tcPr>
          <w:p w14:paraId="11D6C46C" w14:textId="77777777" w:rsidR="003310A9" w:rsidRPr="00CE7EB7" w:rsidRDefault="00235995">
            <w:pPr>
              <w:spacing w:after="0" w:line="240" w:lineRule="auto"/>
              <w:rPr>
                <w:rFonts w:ascii="Aptos" w:hAnsi="Aptos"/>
                <w:sz w:val="20"/>
                <w:szCs w:val="20"/>
              </w:rPr>
            </w:pPr>
            <w:r w:rsidRPr="00CE7EB7">
              <w:rPr>
                <w:rFonts w:ascii="Aptos" w:hAnsi="Aptos"/>
                <w:sz w:val="20"/>
                <w:szCs w:val="20"/>
              </w:rPr>
              <w:t>230</w:t>
            </w:r>
          </w:p>
        </w:tc>
        <w:tc>
          <w:tcPr>
            <w:tcW w:w="900" w:type="dxa"/>
          </w:tcPr>
          <w:p w14:paraId="773A13B6" w14:textId="77777777" w:rsidR="003310A9" w:rsidRPr="00CE7EB7" w:rsidRDefault="00235995">
            <w:pPr>
              <w:spacing w:after="0" w:line="240" w:lineRule="auto"/>
              <w:rPr>
                <w:rFonts w:ascii="Aptos" w:hAnsi="Aptos"/>
                <w:sz w:val="20"/>
                <w:szCs w:val="20"/>
              </w:rPr>
            </w:pPr>
            <w:r w:rsidRPr="00CE7EB7">
              <w:rPr>
                <w:rFonts w:ascii="Aptos" w:hAnsi="Aptos"/>
                <w:sz w:val="20"/>
                <w:szCs w:val="20"/>
              </w:rPr>
              <w:t>4</w:t>
            </w:r>
          </w:p>
        </w:tc>
        <w:tc>
          <w:tcPr>
            <w:tcW w:w="900" w:type="dxa"/>
          </w:tcPr>
          <w:p w14:paraId="0A131AF7"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19FE3426"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4823550B"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0E826C87"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r w:rsidR="003310A9" w:rsidRPr="00CE7EB7" w14:paraId="76E94754" w14:textId="77777777">
        <w:trPr>
          <w:cantSplit/>
        </w:trPr>
        <w:tc>
          <w:tcPr>
            <w:tcW w:w="2600" w:type="dxa"/>
          </w:tcPr>
          <w:p w14:paraId="1C4319D8" w14:textId="77777777" w:rsidR="003310A9" w:rsidRPr="00CE7EB7" w:rsidRDefault="00235995">
            <w:pPr>
              <w:spacing w:after="0" w:line="240" w:lineRule="auto"/>
              <w:rPr>
                <w:rFonts w:ascii="Aptos" w:hAnsi="Aptos"/>
                <w:sz w:val="20"/>
                <w:szCs w:val="20"/>
              </w:rPr>
            </w:pPr>
            <w:r w:rsidRPr="00CE7EB7">
              <w:rPr>
                <w:rFonts w:ascii="Aptos" w:hAnsi="Aptos"/>
                <w:sz w:val="20"/>
                <w:szCs w:val="20"/>
              </w:rPr>
              <w:t>Yachida CRC</w:t>
            </w:r>
          </w:p>
        </w:tc>
        <w:tc>
          <w:tcPr>
            <w:tcW w:w="1500" w:type="dxa"/>
          </w:tcPr>
          <w:p w14:paraId="55432F69" w14:textId="77777777" w:rsidR="003310A9" w:rsidRPr="00CE7EB7" w:rsidRDefault="00235995">
            <w:pPr>
              <w:spacing w:after="0" w:line="240" w:lineRule="auto"/>
              <w:rPr>
                <w:rFonts w:ascii="Aptos" w:hAnsi="Aptos"/>
                <w:sz w:val="20"/>
                <w:szCs w:val="20"/>
              </w:rPr>
            </w:pPr>
            <w:r w:rsidRPr="00CE7EB7">
              <w:rPr>
                <w:rFonts w:ascii="Aptos" w:hAnsi="Aptos"/>
                <w:sz w:val="20"/>
                <w:szCs w:val="20"/>
              </w:rPr>
              <w:t>278</w:t>
            </w:r>
          </w:p>
        </w:tc>
        <w:tc>
          <w:tcPr>
            <w:tcW w:w="900" w:type="dxa"/>
          </w:tcPr>
          <w:p w14:paraId="0D7EB4FA" w14:textId="77777777" w:rsidR="003310A9" w:rsidRPr="00CE7EB7" w:rsidRDefault="00235995">
            <w:pPr>
              <w:spacing w:after="0" w:line="240" w:lineRule="auto"/>
              <w:rPr>
                <w:rFonts w:ascii="Aptos" w:hAnsi="Aptos"/>
                <w:sz w:val="20"/>
                <w:szCs w:val="20"/>
              </w:rPr>
            </w:pPr>
            <w:r w:rsidRPr="00CE7EB7">
              <w:rPr>
                <w:rFonts w:ascii="Aptos" w:hAnsi="Aptos"/>
                <w:sz w:val="20"/>
                <w:szCs w:val="20"/>
              </w:rPr>
              <w:t>9</w:t>
            </w:r>
          </w:p>
        </w:tc>
        <w:tc>
          <w:tcPr>
            <w:tcW w:w="900" w:type="dxa"/>
          </w:tcPr>
          <w:p w14:paraId="50F18887"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5D0F753D"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351188F7"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900" w:type="dxa"/>
          </w:tcPr>
          <w:p w14:paraId="7CC04378"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r>
    </w:tbl>
    <w:p w14:paraId="6E626191" w14:textId="77777777" w:rsidR="003310A9" w:rsidRPr="00CE7EB7" w:rsidRDefault="00235995">
      <w:pPr>
        <w:spacing w:line="480" w:lineRule="auto"/>
        <w:rPr>
          <w:rFonts w:ascii="Aptos" w:hAnsi="Aptos"/>
        </w:rPr>
      </w:pPr>
      <w:r w:rsidRPr="00CE7EB7">
        <w:rPr>
          <w:rFonts w:ascii="Aptos" w:hAnsi="Aptos"/>
        </w:rPr>
        <w:t>The abrupt movement across columns is the point of the calibration: the same population signal can be almost entirely rejected by cross-validation in a small training set and almost completely retained in a larger one.</w:t>
      </w:r>
    </w:p>
    <w:p w14:paraId="4F45E1D9"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5</w:t>
      </w:r>
      <w:r w:rsidRPr="00CE7EB7">
        <w:rPr>
          <w:rFonts w:ascii="Aptos" w:hAnsi="Aptos"/>
          <w:color w:val="000000" w:themeColor="text1"/>
        </w:rPr>
        <w:t xml:space="preserve"> Signal threshold for the median selected rank to reach at least five in a true rank-ten system.</w:t>
      </w:r>
    </w:p>
    <w:tbl>
      <w:tblPr>
        <w:tblStyle w:val="TableGrid"/>
        <w:tblW w:w="0" w:type="auto"/>
        <w:jc w:val="center"/>
        <w:tblLook w:val="04A0" w:firstRow="1" w:lastRow="0" w:firstColumn="1" w:lastColumn="0" w:noHBand="0" w:noVBand="1"/>
      </w:tblPr>
      <w:tblGrid>
        <w:gridCol w:w="2484"/>
        <w:gridCol w:w="2484"/>
        <w:gridCol w:w="2484"/>
        <w:gridCol w:w="2484"/>
      </w:tblGrid>
      <w:tr w:rsidR="0070331D" w:rsidRPr="00CE7EB7" w14:paraId="204C8D0E" w14:textId="77777777">
        <w:trPr>
          <w:tblHeader/>
          <w:jc w:val="center"/>
        </w:trPr>
        <w:tc>
          <w:tcPr>
            <w:tcW w:w="2484" w:type="dxa"/>
            <w:shd w:val="clear" w:color="auto" w:fill="E7E6E6"/>
          </w:tcPr>
          <w:p w14:paraId="46F62A82"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Cohort</w:t>
            </w:r>
          </w:p>
        </w:tc>
        <w:tc>
          <w:tcPr>
            <w:tcW w:w="2484" w:type="dxa"/>
            <w:shd w:val="clear" w:color="auto" w:fill="E7E6E6"/>
          </w:tcPr>
          <w:p w14:paraId="6CC98D8C"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Rank-selection sample size</w:t>
            </w:r>
          </w:p>
        </w:tc>
        <w:tc>
          <w:tcPr>
            <w:tcW w:w="2484" w:type="dxa"/>
            <w:shd w:val="clear" w:color="auto" w:fill="E7E6E6"/>
          </w:tcPr>
          <w:p w14:paraId="0B482947"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Total population signal</w:t>
            </w:r>
          </w:p>
        </w:tc>
        <w:tc>
          <w:tcPr>
            <w:tcW w:w="2484" w:type="dxa"/>
            <w:shd w:val="clear" w:color="auto" w:fill="E7E6E6"/>
          </w:tcPr>
          <w:p w14:paraId="6A642E2E"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Per-direction share</w:t>
            </w:r>
          </w:p>
        </w:tc>
      </w:tr>
      <w:tr w:rsidR="0070331D" w:rsidRPr="00CE7EB7" w14:paraId="6930DDF2" w14:textId="77777777">
        <w:trPr>
          <w:jc w:val="center"/>
        </w:trPr>
        <w:tc>
          <w:tcPr>
            <w:tcW w:w="2484" w:type="dxa"/>
          </w:tcPr>
          <w:p w14:paraId="33CC0C9B"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Kang autism</w:t>
            </w:r>
          </w:p>
        </w:tc>
        <w:tc>
          <w:tcPr>
            <w:tcW w:w="2484" w:type="dxa"/>
          </w:tcPr>
          <w:p w14:paraId="360C6AD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35</m:t>
                </m:r>
              </m:oMath>
            </m:oMathPara>
          </w:p>
        </w:tc>
        <w:tc>
          <w:tcPr>
            <w:tcW w:w="2484" w:type="dxa"/>
          </w:tcPr>
          <w:p w14:paraId="156B1CA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0.50</m:t>
                </m:r>
              </m:oMath>
            </m:oMathPara>
          </w:p>
        </w:tc>
        <w:tc>
          <w:tcPr>
            <w:tcW w:w="2484" w:type="dxa"/>
          </w:tcPr>
          <w:p w14:paraId="49374A7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r>
                  <m:rPr>
                    <m:sty m:val="p"/>
                  </m:rPr>
                  <w:rPr>
                    <w:rFonts w:ascii="Cambria Math" w:hAnsi="Cambria Math"/>
                    <w:color w:val="000000" w:themeColor="text1"/>
                    <w:sz w:val="20"/>
                    <w:szCs w:val="20"/>
                  </w:rPr>
                  <m:t>%</m:t>
                </m:r>
              </m:oMath>
            </m:oMathPara>
          </w:p>
        </w:tc>
      </w:tr>
      <w:tr w:rsidR="0070331D" w:rsidRPr="00CE7EB7" w14:paraId="3FEFA0C1" w14:textId="77777777">
        <w:trPr>
          <w:jc w:val="center"/>
        </w:trPr>
        <w:tc>
          <w:tcPr>
            <w:tcW w:w="2484" w:type="dxa"/>
          </w:tcPr>
          <w:p w14:paraId="12BF6C87"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Wandro preterms</w:t>
            </w:r>
          </w:p>
        </w:tc>
        <w:tc>
          <w:tcPr>
            <w:tcW w:w="2484" w:type="dxa"/>
          </w:tcPr>
          <w:p w14:paraId="54B321D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60</m:t>
                </m:r>
              </m:oMath>
            </m:oMathPara>
          </w:p>
        </w:tc>
        <w:tc>
          <w:tcPr>
            <w:tcW w:w="2484" w:type="dxa"/>
          </w:tcPr>
          <w:p w14:paraId="772590F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0.30</m:t>
                </m:r>
              </m:oMath>
            </m:oMathPara>
          </w:p>
        </w:tc>
        <w:tc>
          <w:tcPr>
            <w:tcW w:w="2484" w:type="dxa"/>
          </w:tcPr>
          <w:p w14:paraId="773824F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3.0</m:t>
                </m:r>
                <m:r>
                  <m:rPr>
                    <m:sty m:val="p"/>
                  </m:rPr>
                  <w:rPr>
                    <w:rFonts w:ascii="Cambria Math" w:hAnsi="Cambria Math"/>
                    <w:color w:val="000000" w:themeColor="text1"/>
                    <w:sz w:val="20"/>
                    <w:szCs w:val="20"/>
                  </w:rPr>
                  <m:t>%</m:t>
                </m:r>
              </m:oMath>
            </m:oMathPara>
          </w:p>
        </w:tc>
      </w:tr>
      <w:tr w:rsidR="0070331D" w:rsidRPr="00CE7EB7" w14:paraId="06C4B3CD" w14:textId="77777777">
        <w:trPr>
          <w:jc w:val="center"/>
        </w:trPr>
        <w:tc>
          <w:tcPr>
            <w:tcW w:w="2484" w:type="dxa"/>
          </w:tcPr>
          <w:p w14:paraId="66F6D16B"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Jacobs IBD families</w:t>
            </w:r>
          </w:p>
        </w:tc>
        <w:tc>
          <w:tcPr>
            <w:tcW w:w="2484" w:type="dxa"/>
          </w:tcPr>
          <w:p w14:paraId="25CCF6C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72</m:t>
                </m:r>
              </m:oMath>
            </m:oMathPara>
          </w:p>
        </w:tc>
        <w:tc>
          <w:tcPr>
            <w:tcW w:w="2484" w:type="dxa"/>
          </w:tcPr>
          <w:p w14:paraId="4322E76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0.30</m:t>
                </m:r>
              </m:oMath>
            </m:oMathPara>
          </w:p>
        </w:tc>
        <w:tc>
          <w:tcPr>
            <w:tcW w:w="2484" w:type="dxa"/>
          </w:tcPr>
          <w:p w14:paraId="2D1481C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3.0</m:t>
                </m:r>
                <m:r>
                  <m:rPr>
                    <m:sty m:val="p"/>
                  </m:rPr>
                  <w:rPr>
                    <w:rFonts w:ascii="Cambria Math" w:hAnsi="Cambria Math"/>
                    <w:color w:val="000000" w:themeColor="text1"/>
                    <w:sz w:val="20"/>
                    <w:szCs w:val="20"/>
                  </w:rPr>
                  <m:t>%</m:t>
                </m:r>
              </m:oMath>
            </m:oMathPara>
          </w:p>
        </w:tc>
      </w:tr>
      <w:tr w:rsidR="0070331D" w:rsidRPr="00CE7EB7" w14:paraId="5870B0F0" w14:textId="77777777">
        <w:trPr>
          <w:jc w:val="center"/>
        </w:trPr>
        <w:tc>
          <w:tcPr>
            <w:tcW w:w="2484" w:type="dxa"/>
          </w:tcPr>
          <w:p w14:paraId="43326B88"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Erawijantari gastric cancer</w:t>
            </w:r>
          </w:p>
        </w:tc>
        <w:tc>
          <w:tcPr>
            <w:tcW w:w="2484" w:type="dxa"/>
          </w:tcPr>
          <w:p w14:paraId="005412C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77</m:t>
                </m:r>
              </m:oMath>
            </m:oMathPara>
          </w:p>
        </w:tc>
        <w:tc>
          <w:tcPr>
            <w:tcW w:w="2484" w:type="dxa"/>
          </w:tcPr>
          <w:p w14:paraId="3460417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0.30</m:t>
                </m:r>
              </m:oMath>
            </m:oMathPara>
          </w:p>
        </w:tc>
        <w:tc>
          <w:tcPr>
            <w:tcW w:w="2484" w:type="dxa"/>
          </w:tcPr>
          <w:p w14:paraId="6BBD4E4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3.0</m:t>
                </m:r>
                <m:r>
                  <m:rPr>
                    <m:sty m:val="p"/>
                  </m:rPr>
                  <w:rPr>
                    <w:rFonts w:ascii="Cambria Math" w:hAnsi="Cambria Math"/>
                    <w:color w:val="000000" w:themeColor="text1"/>
                    <w:sz w:val="20"/>
                    <w:szCs w:val="20"/>
                  </w:rPr>
                  <m:t>%</m:t>
                </m:r>
              </m:oMath>
            </m:oMathPara>
          </w:p>
        </w:tc>
      </w:tr>
      <w:tr w:rsidR="0070331D" w:rsidRPr="00CE7EB7" w14:paraId="2263D84D" w14:textId="77777777">
        <w:trPr>
          <w:jc w:val="center"/>
        </w:trPr>
        <w:tc>
          <w:tcPr>
            <w:tcW w:w="2484" w:type="dxa"/>
          </w:tcPr>
          <w:p w14:paraId="7640DB66"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Franzosa IBD</w:t>
            </w:r>
          </w:p>
        </w:tc>
        <w:tc>
          <w:tcPr>
            <w:tcW w:w="2484" w:type="dxa"/>
          </w:tcPr>
          <w:p w14:paraId="312DCDB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176</m:t>
                </m:r>
              </m:oMath>
            </m:oMathPara>
          </w:p>
        </w:tc>
        <w:tc>
          <w:tcPr>
            <w:tcW w:w="2484" w:type="dxa"/>
          </w:tcPr>
          <w:p w14:paraId="4538DFE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0.15</m:t>
                </m:r>
              </m:oMath>
            </m:oMathPara>
          </w:p>
        </w:tc>
        <w:tc>
          <w:tcPr>
            <w:tcW w:w="2484" w:type="dxa"/>
          </w:tcPr>
          <w:p w14:paraId="31F1C01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1.5</m:t>
                </m:r>
                <m:r>
                  <m:rPr>
                    <m:sty m:val="p"/>
                  </m:rPr>
                  <w:rPr>
                    <w:rFonts w:ascii="Cambria Math" w:hAnsi="Cambria Math"/>
                    <w:color w:val="000000" w:themeColor="text1"/>
                    <w:sz w:val="20"/>
                    <w:szCs w:val="20"/>
                  </w:rPr>
                  <m:t>%</m:t>
                </m:r>
              </m:oMath>
            </m:oMathPara>
          </w:p>
        </w:tc>
      </w:tr>
      <w:tr w:rsidR="0070331D" w:rsidRPr="00CE7EB7" w14:paraId="3A682E33" w14:textId="77777777">
        <w:trPr>
          <w:jc w:val="center"/>
        </w:trPr>
        <w:tc>
          <w:tcPr>
            <w:tcW w:w="2484" w:type="dxa"/>
          </w:tcPr>
          <w:p w14:paraId="6B6DCB8D"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He infants</w:t>
            </w:r>
          </w:p>
        </w:tc>
        <w:tc>
          <w:tcPr>
            <w:tcW w:w="2484" w:type="dxa"/>
          </w:tcPr>
          <w:p w14:paraId="6E26C84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222</m:t>
                </m:r>
              </m:oMath>
            </m:oMathPara>
          </w:p>
        </w:tc>
        <w:tc>
          <w:tcPr>
            <w:tcW w:w="2484" w:type="dxa"/>
          </w:tcPr>
          <w:p w14:paraId="60DEF0F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0.15</m:t>
                </m:r>
              </m:oMath>
            </m:oMathPara>
          </w:p>
        </w:tc>
        <w:tc>
          <w:tcPr>
            <w:tcW w:w="2484" w:type="dxa"/>
          </w:tcPr>
          <w:p w14:paraId="63CFEA9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1.5</m:t>
                </m:r>
                <m:r>
                  <m:rPr>
                    <m:sty m:val="p"/>
                  </m:rPr>
                  <w:rPr>
                    <w:rFonts w:ascii="Cambria Math" w:hAnsi="Cambria Math"/>
                    <w:color w:val="000000" w:themeColor="text1"/>
                    <w:sz w:val="20"/>
                    <w:szCs w:val="20"/>
                  </w:rPr>
                  <m:t>%</m:t>
                </m:r>
              </m:oMath>
            </m:oMathPara>
          </w:p>
        </w:tc>
      </w:tr>
      <w:tr w:rsidR="0070331D" w:rsidRPr="00CE7EB7" w14:paraId="5C0A4327" w14:textId="77777777">
        <w:trPr>
          <w:jc w:val="center"/>
        </w:trPr>
        <w:tc>
          <w:tcPr>
            <w:tcW w:w="2484" w:type="dxa"/>
          </w:tcPr>
          <w:p w14:paraId="49C137F6"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Wang ESRD</w:t>
            </w:r>
          </w:p>
        </w:tc>
        <w:tc>
          <w:tcPr>
            <w:tcW w:w="2484" w:type="dxa"/>
          </w:tcPr>
          <w:p w14:paraId="148CC59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230</m:t>
                </m:r>
              </m:oMath>
            </m:oMathPara>
          </w:p>
        </w:tc>
        <w:tc>
          <w:tcPr>
            <w:tcW w:w="2484" w:type="dxa"/>
          </w:tcPr>
          <w:p w14:paraId="7785EB6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0.15</m:t>
                </m:r>
              </m:oMath>
            </m:oMathPara>
          </w:p>
        </w:tc>
        <w:tc>
          <w:tcPr>
            <w:tcW w:w="2484" w:type="dxa"/>
          </w:tcPr>
          <w:p w14:paraId="67A5BB2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1.5</m:t>
                </m:r>
                <m:r>
                  <m:rPr>
                    <m:sty m:val="p"/>
                  </m:rPr>
                  <w:rPr>
                    <w:rFonts w:ascii="Cambria Math" w:hAnsi="Cambria Math"/>
                    <w:color w:val="000000" w:themeColor="text1"/>
                    <w:sz w:val="20"/>
                    <w:szCs w:val="20"/>
                  </w:rPr>
                  <m:t>%</m:t>
                </m:r>
              </m:oMath>
            </m:oMathPara>
          </w:p>
        </w:tc>
      </w:tr>
      <w:tr w:rsidR="0070331D" w:rsidRPr="00CE7EB7" w14:paraId="164D0D66" w14:textId="77777777">
        <w:trPr>
          <w:jc w:val="center"/>
        </w:trPr>
        <w:tc>
          <w:tcPr>
            <w:tcW w:w="2484" w:type="dxa"/>
          </w:tcPr>
          <w:p w14:paraId="10BF038A"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Yachida CRC</w:t>
            </w:r>
          </w:p>
        </w:tc>
        <w:tc>
          <w:tcPr>
            <w:tcW w:w="2484" w:type="dxa"/>
          </w:tcPr>
          <w:p w14:paraId="0AF78CD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278</m:t>
                </m:r>
              </m:oMath>
            </m:oMathPara>
          </w:p>
        </w:tc>
        <w:tc>
          <w:tcPr>
            <w:tcW w:w="2484" w:type="dxa"/>
          </w:tcPr>
          <w:p w14:paraId="55E2E76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m:t>
                </m:r>
              </m:oMath>
            </m:oMathPara>
          </w:p>
        </w:tc>
        <w:tc>
          <w:tcPr>
            <w:tcW w:w="2484" w:type="dxa"/>
          </w:tcPr>
          <w:p w14:paraId="7CD519D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m:t>
                </m:r>
                <m:r>
                  <m:rPr>
                    <m:sty m:val="p"/>
                  </m:rPr>
                  <w:rPr>
                    <w:rFonts w:ascii="Cambria Math" w:hAnsi="Cambria Math"/>
                    <w:color w:val="000000" w:themeColor="text1"/>
                    <w:sz w:val="20"/>
                    <w:szCs w:val="20"/>
                  </w:rPr>
                  <m:t>%</m:t>
                </m:r>
              </m:oMath>
            </m:oMathPara>
          </w:p>
        </w:tc>
      </w:tr>
    </w:tbl>
    <w:p w14:paraId="2507AFB0" w14:textId="77777777" w:rsidR="003310A9" w:rsidRPr="00CE7EB7" w:rsidRDefault="00235995">
      <w:pPr>
        <w:spacing w:line="480" w:lineRule="auto"/>
        <w:rPr>
          <w:rFonts w:ascii="Aptos" w:hAnsi="Aptos"/>
        </w:rPr>
      </w:pPr>
      <w:r w:rsidRPr="00CE7EB7">
        <w:rPr>
          <w:rFonts w:ascii="Aptos" w:hAnsi="Aptos"/>
        </w:rPr>
        <w:t xml:space="preserve">The cohort preprocessing also caps the number of retained taxa and metabolites at one quarter of the outer-training sample size. A sensitivity analysis applied that cap to the smaller simulations, using dimensions </w:t>
      </w:r>
      <m:oMath>
        <m:r>
          <w:rPr>
            <w:rFonts w:ascii="Cambria Math" w:hAnsi="Cambria Math"/>
          </w:rPr>
          <m:t>8</m:t>
        </m:r>
      </m:oMath>
      <w:r w:rsidRPr="00CE7EB7">
        <w:rPr>
          <w:rFonts w:ascii="Aptos" w:hAnsi="Aptos"/>
        </w:rPr>
        <w:t xml:space="preserve">, </w:t>
      </w:r>
      <m:oMath>
        <m:r>
          <w:rPr>
            <w:rFonts w:ascii="Cambria Math" w:hAnsi="Cambria Math"/>
          </w:rPr>
          <m:t>15</m:t>
        </m:r>
      </m:oMath>
      <w:r w:rsidRPr="00CE7EB7">
        <w:rPr>
          <w:rFonts w:ascii="Aptos" w:hAnsi="Aptos"/>
        </w:rPr>
        <w:t xml:space="preserve">, </w:t>
      </w:r>
      <m:oMath>
        <m:r>
          <w:rPr>
            <w:rFonts w:ascii="Cambria Math" w:hAnsi="Cambria Math"/>
          </w:rPr>
          <m:t>18</m:t>
        </m:r>
      </m:oMath>
      <w:r w:rsidRPr="00CE7EB7">
        <w:rPr>
          <w:rFonts w:ascii="Aptos" w:hAnsi="Aptos"/>
        </w:rPr>
        <w:t xml:space="preserve">, and </w:t>
      </w:r>
      <m:oMath>
        <m:r>
          <w:rPr>
            <w:rFonts w:ascii="Cambria Math" w:hAnsi="Cambria Math"/>
          </w:rPr>
          <m:t>19</m:t>
        </m:r>
      </m:oMath>
      <w:r w:rsidRPr="00CE7EB7">
        <w:rPr>
          <w:rFonts w:ascii="Aptos" w:hAnsi="Aptos"/>
        </w:rPr>
        <w:t xml:space="preserve"> for the Kang, Wandro, Jacobs, and Erawijantari sample sizes while retaining </w:t>
      </w:r>
      <m:oMath>
        <m:r>
          <w:rPr>
            <w:rFonts w:ascii="Cambria Math" w:hAnsi="Cambria Math"/>
          </w:rPr>
          <m:t>24</m:t>
        </m:r>
      </m:oMath>
      <w:r w:rsidRPr="00CE7EB7">
        <w:rPr>
          <w:rFonts w:ascii="Aptos" w:hAnsi="Aptos"/>
        </w:rPr>
        <w:t xml:space="preserve"> for the larger designs. Reducing the number of fitted variables improved rank recovery in the small designs but did not remove the dependence on sample size: at population signal </w:t>
      </w:r>
      <m:oMath>
        <m:r>
          <w:rPr>
            <w:rFonts w:ascii="Cambria Math" w:hAnsi="Cambria Math"/>
          </w:rPr>
          <m:t>0.20</m:t>
        </m:r>
      </m:oMath>
      <w:r w:rsidRPr="00CE7EB7">
        <w:rPr>
          <w:rFonts w:ascii="Aptos" w:hAnsi="Aptos"/>
        </w:rPr>
        <w:t xml:space="preserve"> the Wandro-sized design moved from median rank </w:t>
      </w:r>
      <m:oMath>
        <m:r>
          <w:rPr>
            <w:rFonts w:ascii="Cambria Math" w:hAnsi="Cambria Math"/>
          </w:rPr>
          <m:t>0</m:t>
        </m:r>
      </m:oMath>
      <w:r w:rsidRPr="00CE7EB7">
        <w:rPr>
          <w:rFonts w:ascii="Aptos" w:hAnsi="Aptos"/>
        </w:rPr>
        <w:t xml:space="preserve"> with </w:t>
      </w:r>
      <m:oMath>
        <m:r>
          <w:rPr>
            <w:rFonts w:ascii="Cambria Math" w:hAnsi="Cambria Math"/>
          </w:rPr>
          <m:t>24</m:t>
        </m:r>
      </m:oMath>
      <w:r w:rsidRPr="00CE7EB7">
        <w:rPr>
          <w:rFonts w:ascii="Aptos" w:hAnsi="Aptos"/>
        </w:rPr>
        <w:t xml:space="preserve"> predictors and outcomes to </w:t>
      </w:r>
      <m:oMath>
        <m:r>
          <w:rPr>
            <w:rFonts w:ascii="Cambria Math" w:hAnsi="Cambria Math"/>
          </w:rPr>
          <m:t>4.5</m:t>
        </m:r>
      </m:oMath>
      <w:r w:rsidRPr="00CE7EB7">
        <w:rPr>
          <w:rFonts w:ascii="Aptos" w:hAnsi="Aptos"/>
        </w:rPr>
        <w:t xml:space="preserve"> with the </w:t>
      </w:r>
      <m:oMath>
        <m:r>
          <w:rPr>
            <w:rFonts w:ascii="Cambria Math" w:hAnsi="Cambria Math"/>
          </w:rPr>
          <m:t>15</m:t>
        </m:r>
      </m:oMath>
      <w:r w:rsidRPr="00CE7EB7">
        <w:rPr>
          <w:rFonts w:ascii="Aptos" w:hAnsi="Aptos"/>
        </w:rPr>
        <w:t xml:space="preserve">-variable cap, and the Erawijantari-sized design from </w:t>
      </w:r>
      <m:oMath>
        <m:r>
          <w:rPr>
            <w:rFonts w:ascii="Cambria Math" w:hAnsi="Cambria Math"/>
          </w:rPr>
          <m:t>1</m:t>
        </m:r>
      </m:oMath>
      <w:r w:rsidRPr="00CE7EB7">
        <w:rPr>
          <w:rFonts w:ascii="Aptos" w:hAnsi="Aptos"/>
        </w:rPr>
        <w:t xml:space="preserve"> to </w:t>
      </w:r>
      <m:oMath>
        <m:r>
          <w:rPr>
            <w:rFonts w:ascii="Cambria Math" w:hAnsi="Cambria Math"/>
          </w:rPr>
          <m:t>3</m:t>
        </m:r>
      </m:oMath>
      <w:r w:rsidRPr="00CE7EB7">
        <w:rPr>
          <w:rFonts w:ascii="Aptos" w:hAnsi="Aptos"/>
        </w:rPr>
        <w:t xml:space="preserve">. The Kang-sized cap is </w:t>
      </w:r>
      <m:oMath>
        <m:r>
          <w:rPr>
            <w:rFonts w:ascii="Cambria Math" w:hAnsi="Cambria Math"/>
          </w:rPr>
          <m:t>8</m:t>
        </m:r>
      </m:oMath>
      <w:r w:rsidRPr="00CE7EB7">
        <w:rPr>
          <w:rFonts w:ascii="Aptos" w:hAnsi="Aptos"/>
        </w:rPr>
        <w:t>, so a rank-ten coefficient matrix is not representable there at all (Supplementary Table 6).</w:t>
      </w:r>
    </w:p>
    <w:p w14:paraId="32EBBE2B" w14:textId="77777777" w:rsidR="003310A9" w:rsidRPr="00CE7EB7" w:rsidRDefault="00235995">
      <w:pPr>
        <w:spacing w:line="480" w:lineRule="auto"/>
        <w:rPr>
          <w:rFonts w:ascii="Aptos" w:hAnsi="Aptos"/>
        </w:rPr>
      </w:pPr>
      <w:r w:rsidRPr="00CE7EB7">
        <w:rPr>
          <w:rFonts w:ascii="Aptos" w:hAnsi="Aptos"/>
          <w:b/>
          <w:bCs/>
        </w:rPr>
        <w:lastRenderedPageBreak/>
        <w:t>Supplementary Table 6</w:t>
      </w:r>
      <w:r w:rsidRPr="00CE7EB7">
        <w:rPr>
          <w:rFonts w:ascii="Aptos" w:hAnsi="Aptos"/>
        </w:rPr>
        <w:t xml:space="preserve"> Sensitivity to the one-quarter training-sample feature cap at population signal </w:t>
      </w:r>
      <m:oMath>
        <m:r>
          <w:rPr>
            <w:rFonts w:ascii="Cambria Math" w:hAnsi="Cambria Math"/>
          </w:rPr>
          <m:t>0.20</m:t>
        </m:r>
      </m:oMath>
      <w:r w:rsidRPr="00CE7EB7">
        <w:rPr>
          <w:rFonts w:ascii="Aptos" w:hAnsi="Aptos"/>
        </w:rPr>
        <w:t xml:space="preserve"> for true rank ten. Fixed results are the primary calibration; capped results reduce predictor and outcome dimensions in the smaller designs.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400"/>
        <w:gridCol w:w="1200"/>
        <w:gridCol w:w="1200"/>
        <w:gridCol w:w="1300"/>
        <w:gridCol w:w="1500"/>
      </w:tblGrid>
      <w:tr w:rsidR="003310A9" w:rsidRPr="00CE7EB7" w14:paraId="6108AAB9" w14:textId="77777777">
        <w:trPr>
          <w:cantSplit/>
          <w:tblHeader/>
        </w:trPr>
        <w:tc>
          <w:tcPr>
            <w:tcW w:w="2300" w:type="dxa"/>
            <w:shd w:val="clear" w:color="auto" w:fill="E7E6E6"/>
          </w:tcPr>
          <w:p w14:paraId="18EB3930"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Cohort</w:t>
            </w:r>
          </w:p>
        </w:tc>
        <w:tc>
          <w:tcPr>
            <w:tcW w:w="1400" w:type="dxa"/>
            <w:shd w:val="clear" w:color="auto" w:fill="E7E6E6"/>
          </w:tcPr>
          <w:p w14:paraId="12FD9772"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Rank-selection n</w:t>
            </w:r>
          </w:p>
        </w:tc>
        <w:tc>
          <w:tcPr>
            <w:tcW w:w="1200" w:type="dxa"/>
            <w:shd w:val="clear" w:color="auto" w:fill="E7E6E6"/>
          </w:tcPr>
          <w:p w14:paraId="25A79BF3"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Fixed p = q</w:t>
            </w:r>
          </w:p>
        </w:tc>
        <w:tc>
          <w:tcPr>
            <w:tcW w:w="1200" w:type="dxa"/>
            <w:shd w:val="clear" w:color="auto" w:fill="E7E6E6"/>
          </w:tcPr>
          <w:p w14:paraId="2A168136"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Median rank</w:t>
            </w:r>
          </w:p>
        </w:tc>
        <w:tc>
          <w:tcPr>
            <w:tcW w:w="1300" w:type="dxa"/>
            <w:shd w:val="clear" w:color="auto" w:fill="E7E6E6"/>
          </w:tcPr>
          <w:p w14:paraId="3C67B67B"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Capped p = q</w:t>
            </w:r>
          </w:p>
        </w:tc>
        <w:tc>
          <w:tcPr>
            <w:tcW w:w="1500" w:type="dxa"/>
            <w:shd w:val="clear" w:color="auto" w:fill="E7E6E6"/>
          </w:tcPr>
          <w:p w14:paraId="71D0598F" w14:textId="77777777" w:rsidR="003310A9" w:rsidRPr="00CE7EB7" w:rsidRDefault="00235995">
            <w:pPr>
              <w:spacing w:after="0" w:line="240" w:lineRule="auto"/>
              <w:rPr>
                <w:rFonts w:ascii="Aptos" w:hAnsi="Aptos"/>
                <w:sz w:val="20"/>
                <w:szCs w:val="20"/>
              </w:rPr>
            </w:pPr>
            <w:r w:rsidRPr="00CE7EB7">
              <w:rPr>
                <w:rFonts w:ascii="Aptos" w:hAnsi="Aptos"/>
                <w:b/>
                <w:bCs/>
                <w:sz w:val="20"/>
                <w:szCs w:val="20"/>
              </w:rPr>
              <w:t>Median rank, capped</w:t>
            </w:r>
          </w:p>
        </w:tc>
      </w:tr>
      <w:tr w:rsidR="003310A9" w:rsidRPr="00CE7EB7" w14:paraId="2D127DED" w14:textId="77777777">
        <w:trPr>
          <w:cantSplit/>
        </w:trPr>
        <w:tc>
          <w:tcPr>
            <w:tcW w:w="2300" w:type="dxa"/>
          </w:tcPr>
          <w:p w14:paraId="248A6B14" w14:textId="77777777" w:rsidR="003310A9" w:rsidRPr="00CE7EB7" w:rsidRDefault="00235995">
            <w:pPr>
              <w:spacing w:after="0" w:line="240" w:lineRule="auto"/>
              <w:rPr>
                <w:rFonts w:ascii="Aptos" w:hAnsi="Aptos"/>
                <w:sz w:val="20"/>
                <w:szCs w:val="20"/>
              </w:rPr>
            </w:pPr>
            <w:r w:rsidRPr="00CE7EB7">
              <w:rPr>
                <w:rFonts w:ascii="Aptos" w:hAnsi="Aptos"/>
                <w:sz w:val="20"/>
                <w:szCs w:val="20"/>
              </w:rPr>
              <w:t>Kang autism</w:t>
            </w:r>
          </w:p>
        </w:tc>
        <w:tc>
          <w:tcPr>
            <w:tcW w:w="1400" w:type="dxa"/>
          </w:tcPr>
          <w:p w14:paraId="6D3A9902" w14:textId="77777777" w:rsidR="003310A9" w:rsidRPr="00CE7EB7" w:rsidRDefault="00235995">
            <w:pPr>
              <w:spacing w:after="0" w:line="240" w:lineRule="auto"/>
              <w:rPr>
                <w:rFonts w:ascii="Aptos" w:hAnsi="Aptos"/>
                <w:sz w:val="20"/>
                <w:szCs w:val="20"/>
              </w:rPr>
            </w:pPr>
            <w:r w:rsidRPr="00CE7EB7">
              <w:rPr>
                <w:rFonts w:ascii="Aptos" w:hAnsi="Aptos"/>
                <w:sz w:val="20"/>
                <w:szCs w:val="20"/>
              </w:rPr>
              <w:t>35</w:t>
            </w:r>
          </w:p>
        </w:tc>
        <w:tc>
          <w:tcPr>
            <w:tcW w:w="1200" w:type="dxa"/>
          </w:tcPr>
          <w:p w14:paraId="7C0CCB26"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11DA6087"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1300" w:type="dxa"/>
          </w:tcPr>
          <w:p w14:paraId="01B5C7EE" w14:textId="77777777" w:rsidR="003310A9" w:rsidRPr="00CE7EB7" w:rsidRDefault="00235995">
            <w:pPr>
              <w:spacing w:after="0" w:line="240" w:lineRule="auto"/>
              <w:rPr>
                <w:rFonts w:ascii="Aptos" w:hAnsi="Aptos"/>
                <w:sz w:val="20"/>
                <w:szCs w:val="20"/>
              </w:rPr>
            </w:pPr>
            <w:r w:rsidRPr="00CE7EB7">
              <w:rPr>
                <w:rFonts w:ascii="Aptos" w:hAnsi="Aptos"/>
                <w:sz w:val="20"/>
                <w:szCs w:val="20"/>
              </w:rPr>
              <w:t>8</w:t>
            </w:r>
          </w:p>
        </w:tc>
        <w:tc>
          <w:tcPr>
            <w:tcW w:w="1500" w:type="dxa"/>
          </w:tcPr>
          <w:p w14:paraId="35C3A15F" w14:textId="77777777" w:rsidR="003310A9" w:rsidRPr="00CE7EB7" w:rsidRDefault="00235995">
            <w:pPr>
              <w:spacing w:after="0" w:line="240" w:lineRule="auto"/>
              <w:rPr>
                <w:rFonts w:ascii="Aptos" w:hAnsi="Aptos"/>
                <w:sz w:val="20"/>
                <w:szCs w:val="20"/>
              </w:rPr>
            </w:pPr>
            <w:r w:rsidRPr="00CE7EB7">
              <w:rPr>
                <w:rFonts w:ascii="Aptos" w:hAnsi="Aptos"/>
                <w:sz w:val="20"/>
                <w:szCs w:val="20"/>
              </w:rPr>
              <w:t>not representable</w:t>
            </w:r>
          </w:p>
        </w:tc>
      </w:tr>
      <w:tr w:rsidR="003310A9" w:rsidRPr="00CE7EB7" w14:paraId="0EE3E32B" w14:textId="77777777">
        <w:trPr>
          <w:cantSplit/>
        </w:trPr>
        <w:tc>
          <w:tcPr>
            <w:tcW w:w="2300" w:type="dxa"/>
          </w:tcPr>
          <w:p w14:paraId="3975B15C" w14:textId="77777777" w:rsidR="003310A9" w:rsidRPr="00CE7EB7" w:rsidRDefault="00235995">
            <w:pPr>
              <w:spacing w:after="0" w:line="240" w:lineRule="auto"/>
              <w:rPr>
                <w:rFonts w:ascii="Aptos" w:hAnsi="Aptos"/>
                <w:sz w:val="20"/>
                <w:szCs w:val="20"/>
              </w:rPr>
            </w:pPr>
            <w:r w:rsidRPr="00CE7EB7">
              <w:rPr>
                <w:rFonts w:ascii="Aptos" w:hAnsi="Aptos"/>
                <w:sz w:val="20"/>
                <w:szCs w:val="20"/>
              </w:rPr>
              <w:t>Wandro preterms</w:t>
            </w:r>
          </w:p>
        </w:tc>
        <w:tc>
          <w:tcPr>
            <w:tcW w:w="1400" w:type="dxa"/>
          </w:tcPr>
          <w:p w14:paraId="7321DC1A" w14:textId="77777777" w:rsidR="003310A9" w:rsidRPr="00CE7EB7" w:rsidRDefault="00235995">
            <w:pPr>
              <w:spacing w:after="0" w:line="240" w:lineRule="auto"/>
              <w:rPr>
                <w:rFonts w:ascii="Aptos" w:hAnsi="Aptos"/>
                <w:sz w:val="20"/>
                <w:szCs w:val="20"/>
              </w:rPr>
            </w:pPr>
            <w:r w:rsidRPr="00CE7EB7">
              <w:rPr>
                <w:rFonts w:ascii="Aptos" w:hAnsi="Aptos"/>
                <w:sz w:val="20"/>
                <w:szCs w:val="20"/>
              </w:rPr>
              <w:t>60</w:t>
            </w:r>
          </w:p>
        </w:tc>
        <w:tc>
          <w:tcPr>
            <w:tcW w:w="1200" w:type="dxa"/>
          </w:tcPr>
          <w:p w14:paraId="7505CECC"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7ADB63F6" w14:textId="77777777" w:rsidR="003310A9" w:rsidRPr="00CE7EB7" w:rsidRDefault="00235995">
            <w:pPr>
              <w:spacing w:after="0" w:line="240" w:lineRule="auto"/>
              <w:rPr>
                <w:rFonts w:ascii="Aptos" w:hAnsi="Aptos"/>
                <w:sz w:val="20"/>
                <w:szCs w:val="20"/>
              </w:rPr>
            </w:pPr>
            <w:r w:rsidRPr="00CE7EB7">
              <w:rPr>
                <w:rFonts w:ascii="Aptos" w:hAnsi="Aptos"/>
                <w:sz w:val="20"/>
                <w:szCs w:val="20"/>
              </w:rPr>
              <w:t>0</w:t>
            </w:r>
          </w:p>
        </w:tc>
        <w:tc>
          <w:tcPr>
            <w:tcW w:w="1300" w:type="dxa"/>
          </w:tcPr>
          <w:p w14:paraId="4D96DE4F" w14:textId="77777777" w:rsidR="003310A9" w:rsidRPr="00CE7EB7" w:rsidRDefault="00235995">
            <w:pPr>
              <w:spacing w:after="0" w:line="240" w:lineRule="auto"/>
              <w:rPr>
                <w:rFonts w:ascii="Aptos" w:hAnsi="Aptos"/>
                <w:sz w:val="20"/>
                <w:szCs w:val="20"/>
              </w:rPr>
            </w:pPr>
            <w:r w:rsidRPr="00CE7EB7">
              <w:rPr>
                <w:rFonts w:ascii="Aptos" w:hAnsi="Aptos"/>
                <w:sz w:val="20"/>
                <w:szCs w:val="20"/>
              </w:rPr>
              <w:t>15</w:t>
            </w:r>
          </w:p>
        </w:tc>
        <w:tc>
          <w:tcPr>
            <w:tcW w:w="1500" w:type="dxa"/>
          </w:tcPr>
          <w:p w14:paraId="2FDB65FA" w14:textId="77777777" w:rsidR="003310A9" w:rsidRPr="00CE7EB7" w:rsidRDefault="00235995">
            <w:pPr>
              <w:spacing w:after="0" w:line="240" w:lineRule="auto"/>
              <w:rPr>
                <w:rFonts w:ascii="Aptos" w:hAnsi="Aptos"/>
                <w:sz w:val="20"/>
                <w:szCs w:val="20"/>
              </w:rPr>
            </w:pPr>
            <w:r w:rsidRPr="00CE7EB7">
              <w:rPr>
                <w:rFonts w:ascii="Aptos" w:hAnsi="Aptos"/>
                <w:sz w:val="20"/>
                <w:szCs w:val="20"/>
              </w:rPr>
              <w:t>4.5</w:t>
            </w:r>
          </w:p>
        </w:tc>
      </w:tr>
      <w:tr w:rsidR="003310A9" w:rsidRPr="00CE7EB7" w14:paraId="7EBB8B90" w14:textId="77777777">
        <w:trPr>
          <w:cantSplit/>
        </w:trPr>
        <w:tc>
          <w:tcPr>
            <w:tcW w:w="2300" w:type="dxa"/>
          </w:tcPr>
          <w:p w14:paraId="578E96B3" w14:textId="77777777" w:rsidR="003310A9" w:rsidRPr="00CE7EB7" w:rsidRDefault="00235995">
            <w:pPr>
              <w:spacing w:after="0" w:line="240" w:lineRule="auto"/>
              <w:rPr>
                <w:rFonts w:ascii="Aptos" w:hAnsi="Aptos"/>
                <w:sz w:val="20"/>
                <w:szCs w:val="20"/>
              </w:rPr>
            </w:pPr>
            <w:r w:rsidRPr="00CE7EB7">
              <w:rPr>
                <w:rFonts w:ascii="Aptos" w:hAnsi="Aptos"/>
                <w:sz w:val="20"/>
                <w:szCs w:val="20"/>
              </w:rPr>
              <w:t>Jacobs IBD families</w:t>
            </w:r>
          </w:p>
        </w:tc>
        <w:tc>
          <w:tcPr>
            <w:tcW w:w="1400" w:type="dxa"/>
          </w:tcPr>
          <w:p w14:paraId="14384611" w14:textId="77777777" w:rsidR="003310A9" w:rsidRPr="00CE7EB7" w:rsidRDefault="00235995">
            <w:pPr>
              <w:spacing w:after="0" w:line="240" w:lineRule="auto"/>
              <w:rPr>
                <w:rFonts w:ascii="Aptos" w:hAnsi="Aptos"/>
                <w:sz w:val="20"/>
                <w:szCs w:val="20"/>
              </w:rPr>
            </w:pPr>
            <w:r w:rsidRPr="00CE7EB7">
              <w:rPr>
                <w:rFonts w:ascii="Aptos" w:hAnsi="Aptos"/>
                <w:sz w:val="20"/>
                <w:szCs w:val="20"/>
              </w:rPr>
              <w:t>72</w:t>
            </w:r>
          </w:p>
        </w:tc>
        <w:tc>
          <w:tcPr>
            <w:tcW w:w="1200" w:type="dxa"/>
          </w:tcPr>
          <w:p w14:paraId="4DE4C960"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5D0E417D" w14:textId="77777777" w:rsidR="003310A9" w:rsidRPr="00CE7EB7" w:rsidRDefault="00235995">
            <w:pPr>
              <w:spacing w:after="0" w:line="240" w:lineRule="auto"/>
              <w:rPr>
                <w:rFonts w:ascii="Aptos" w:hAnsi="Aptos"/>
                <w:sz w:val="20"/>
                <w:szCs w:val="20"/>
              </w:rPr>
            </w:pPr>
            <w:r w:rsidRPr="00CE7EB7">
              <w:rPr>
                <w:rFonts w:ascii="Aptos" w:hAnsi="Aptos"/>
                <w:sz w:val="20"/>
                <w:szCs w:val="20"/>
              </w:rPr>
              <w:t>1</w:t>
            </w:r>
          </w:p>
        </w:tc>
        <w:tc>
          <w:tcPr>
            <w:tcW w:w="1300" w:type="dxa"/>
          </w:tcPr>
          <w:p w14:paraId="06F33B8B" w14:textId="77777777" w:rsidR="003310A9" w:rsidRPr="00CE7EB7" w:rsidRDefault="00235995">
            <w:pPr>
              <w:spacing w:after="0" w:line="240" w:lineRule="auto"/>
              <w:rPr>
                <w:rFonts w:ascii="Aptos" w:hAnsi="Aptos"/>
                <w:sz w:val="20"/>
                <w:szCs w:val="20"/>
              </w:rPr>
            </w:pPr>
            <w:r w:rsidRPr="00CE7EB7">
              <w:rPr>
                <w:rFonts w:ascii="Aptos" w:hAnsi="Aptos"/>
                <w:sz w:val="20"/>
                <w:szCs w:val="20"/>
              </w:rPr>
              <w:t>18</w:t>
            </w:r>
          </w:p>
        </w:tc>
        <w:tc>
          <w:tcPr>
            <w:tcW w:w="1500" w:type="dxa"/>
          </w:tcPr>
          <w:p w14:paraId="3C4002E3" w14:textId="77777777" w:rsidR="003310A9" w:rsidRPr="00CE7EB7" w:rsidRDefault="00235995">
            <w:pPr>
              <w:spacing w:after="0" w:line="240" w:lineRule="auto"/>
              <w:rPr>
                <w:rFonts w:ascii="Aptos" w:hAnsi="Aptos"/>
                <w:sz w:val="20"/>
                <w:szCs w:val="20"/>
              </w:rPr>
            </w:pPr>
            <w:r w:rsidRPr="00CE7EB7">
              <w:rPr>
                <w:rFonts w:ascii="Aptos" w:hAnsi="Aptos"/>
                <w:sz w:val="20"/>
                <w:szCs w:val="20"/>
              </w:rPr>
              <w:t>3.5</w:t>
            </w:r>
          </w:p>
        </w:tc>
      </w:tr>
      <w:tr w:rsidR="003310A9" w:rsidRPr="00CE7EB7" w14:paraId="768BC03E" w14:textId="77777777">
        <w:trPr>
          <w:cantSplit/>
        </w:trPr>
        <w:tc>
          <w:tcPr>
            <w:tcW w:w="2300" w:type="dxa"/>
          </w:tcPr>
          <w:p w14:paraId="7BE60FFD" w14:textId="77777777" w:rsidR="003310A9" w:rsidRPr="00CE7EB7" w:rsidRDefault="00235995">
            <w:pPr>
              <w:spacing w:after="0" w:line="240" w:lineRule="auto"/>
              <w:rPr>
                <w:rFonts w:ascii="Aptos" w:hAnsi="Aptos"/>
                <w:sz w:val="20"/>
                <w:szCs w:val="20"/>
              </w:rPr>
            </w:pPr>
            <w:r w:rsidRPr="00CE7EB7">
              <w:rPr>
                <w:rFonts w:ascii="Aptos" w:hAnsi="Aptos"/>
                <w:sz w:val="20"/>
                <w:szCs w:val="20"/>
              </w:rPr>
              <w:t>Erawijantari gastric cancer</w:t>
            </w:r>
          </w:p>
        </w:tc>
        <w:tc>
          <w:tcPr>
            <w:tcW w:w="1400" w:type="dxa"/>
          </w:tcPr>
          <w:p w14:paraId="440066B4" w14:textId="77777777" w:rsidR="003310A9" w:rsidRPr="00CE7EB7" w:rsidRDefault="00235995">
            <w:pPr>
              <w:spacing w:after="0" w:line="240" w:lineRule="auto"/>
              <w:rPr>
                <w:rFonts w:ascii="Aptos" w:hAnsi="Aptos"/>
                <w:sz w:val="20"/>
                <w:szCs w:val="20"/>
              </w:rPr>
            </w:pPr>
            <w:r w:rsidRPr="00CE7EB7">
              <w:rPr>
                <w:rFonts w:ascii="Aptos" w:hAnsi="Aptos"/>
                <w:sz w:val="20"/>
                <w:szCs w:val="20"/>
              </w:rPr>
              <w:t>77</w:t>
            </w:r>
          </w:p>
        </w:tc>
        <w:tc>
          <w:tcPr>
            <w:tcW w:w="1200" w:type="dxa"/>
          </w:tcPr>
          <w:p w14:paraId="5E70E2BA"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2BB6E385" w14:textId="77777777" w:rsidR="003310A9" w:rsidRPr="00CE7EB7" w:rsidRDefault="00235995">
            <w:pPr>
              <w:spacing w:after="0" w:line="240" w:lineRule="auto"/>
              <w:rPr>
                <w:rFonts w:ascii="Aptos" w:hAnsi="Aptos"/>
                <w:sz w:val="20"/>
                <w:szCs w:val="20"/>
              </w:rPr>
            </w:pPr>
            <w:r w:rsidRPr="00CE7EB7">
              <w:rPr>
                <w:rFonts w:ascii="Aptos" w:hAnsi="Aptos"/>
                <w:sz w:val="20"/>
                <w:szCs w:val="20"/>
              </w:rPr>
              <w:t>1</w:t>
            </w:r>
          </w:p>
        </w:tc>
        <w:tc>
          <w:tcPr>
            <w:tcW w:w="1300" w:type="dxa"/>
          </w:tcPr>
          <w:p w14:paraId="22433903" w14:textId="77777777" w:rsidR="003310A9" w:rsidRPr="00CE7EB7" w:rsidRDefault="00235995">
            <w:pPr>
              <w:spacing w:after="0" w:line="240" w:lineRule="auto"/>
              <w:rPr>
                <w:rFonts w:ascii="Aptos" w:hAnsi="Aptos"/>
                <w:sz w:val="20"/>
                <w:szCs w:val="20"/>
              </w:rPr>
            </w:pPr>
            <w:r w:rsidRPr="00CE7EB7">
              <w:rPr>
                <w:rFonts w:ascii="Aptos" w:hAnsi="Aptos"/>
                <w:sz w:val="20"/>
                <w:szCs w:val="20"/>
              </w:rPr>
              <w:t>19</w:t>
            </w:r>
          </w:p>
        </w:tc>
        <w:tc>
          <w:tcPr>
            <w:tcW w:w="1500" w:type="dxa"/>
          </w:tcPr>
          <w:p w14:paraId="07EEFDD0" w14:textId="77777777" w:rsidR="003310A9" w:rsidRPr="00CE7EB7" w:rsidRDefault="00235995">
            <w:pPr>
              <w:spacing w:after="0" w:line="240" w:lineRule="auto"/>
              <w:rPr>
                <w:rFonts w:ascii="Aptos" w:hAnsi="Aptos"/>
                <w:sz w:val="20"/>
                <w:szCs w:val="20"/>
              </w:rPr>
            </w:pPr>
            <w:r w:rsidRPr="00CE7EB7">
              <w:rPr>
                <w:rFonts w:ascii="Aptos" w:hAnsi="Aptos"/>
                <w:sz w:val="20"/>
                <w:szCs w:val="20"/>
              </w:rPr>
              <w:t>3.0</w:t>
            </w:r>
          </w:p>
        </w:tc>
      </w:tr>
      <w:tr w:rsidR="003310A9" w:rsidRPr="00CE7EB7" w14:paraId="56C46C39" w14:textId="77777777">
        <w:trPr>
          <w:cantSplit/>
        </w:trPr>
        <w:tc>
          <w:tcPr>
            <w:tcW w:w="2300" w:type="dxa"/>
          </w:tcPr>
          <w:p w14:paraId="6A5B06C1" w14:textId="77777777" w:rsidR="003310A9" w:rsidRPr="00CE7EB7" w:rsidRDefault="00235995">
            <w:pPr>
              <w:spacing w:after="0" w:line="240" w:lineRule="auto"/>
              <w:rPr>
                <w:rFonts w:ascii="Aptos" w:hAnsi="Aptos"/>
                <w:sz w:val="20"/>
                <w:szCs w:val="20"/>
              </w:rPr>
            </w:pPr>
            <w:r w:rsidRPr="00CE7EB7">
              <w:rPr>
                <w:rFonts w:ascii="Aptos" w:hAnsi="Aptos"/>
                <w:sz w:val="20"/>
                <w:szCs w:val="20"/>
              </w:rPr>
              <w:t>Franzosa IBD</w:t>
            </w:r>
          </w:p>
        </w:tc>
        <w:tc>
          <w:tcPr>
            <w:tcW w:w="1400" w:type="dxa"/>
          </w:tcPr>
          <w:p w14:paraId="411EFA19" w14:textId="77777777" w:rsidR="003310A9" w:rsidRPr="00CE7EB7" w:rsidRDefault="00235995">
            <w:pPr>
              <w:spacing w:after="0" w:line="240" w:lineRule="auto"/>
              <w:rPr>
                <w:rFonts w:ascii="Aptos" w:hAnsi="Aptos"/>
                <w:sz w:val="20"/>
                <w:szCs w:val="20"/>
              </w:rPr>
            </w:pPr>
            <w:r w:rsidRPr="00CE7EB7">
              <w:rPr>
                <w:rFonts w:ascii="Aptos" w:hAnsi="Aptos"/>
                <w:sz w:val="20"/>
                <w:szCs w:val="20"/>
              </w:rPr>
              <w:t>176</w:t>
            </w:r>
          </w:p>
        </w:tc>
        <w:tc>
          <w:tcPr>
            <w:tcW w:w="1200" w:type="dxa"/>
          </w:tcPr>
          <w:p w14:paraId="5C6D5EB5"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6AD7267C"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1300" w:type="dxa"/>
          </w:tcPr>
          <w:p w14:paraId="5AEC4FFE"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500" w:type="dxa"/>
          </w:tcPr>
          <w:p w14:paraId="36C5A129" w14:textId="77777777" w:rsidR="003310A9" w:rsidRPr="00CE7EB7" w:rsidRDefault="00235995">
            <w:pPr>
              <w:spacing w:after="0" w:line="240" w:lineRule="auto"/>
              <w:rPr>
                <w:rFonts w:ascii="Aptos" w:hAnsi="Aptos"/>
                <w:sz w:val="20"/>
                <w:szCs w:val="20"/>
              </w:rPr>
            </w:pPr>
            <w:r w:rsidRPr="00CE7EB7">
              <w:rPr>
                <w:rFonts w:ascii="Aptos" w:hAnsi="Aptos"/>
                <w:sz w:val="20"/>
                <w:szCs w:val="20"/>
              </w:rPr>
              <w:t>10.0</w:t>
            </w:r>
          </w:p>
        </w:tc>
      </w:tr>
      <w:tr w:rsidR="003310A9" w:rsidRPr="00CE7EB7" w14:paraId="629084BE" w14:textId="77777777">
        <w:trPr>
          <w:cantSplit/>
        </w:trPr>
        <w:tc>
          <w:tcPr>
            <w:tcW w:w="2300" w:type="dxa"/>
          </w:tcPr>
          <w:p w14:paraId="4878A7BD" w14:textId="77777777" w:rsidR="003310A9" w:rsidRPr="00CE7EB7" w:rsidRDefault="00235995">
            <w:pPr>
              <w:spacing w:after="0" w:line="240" w:lineRule="auto"/>
              <w:rPr>
                <w:rFonts w:ascii="Aptos" w:hAnsi="Aptos"/>
                <w:sz w:val="20"/>
                <w:szCs w:val="20"/>
              </w:rPr>
            </w:pPr>
            <w:r w:rsidRPr="00CE7EB7">
              <w:rPr>
                <w:rFonts w:ascii="Aptos" w:hAnsi="Aptos"/>
                <w:sz w:val="20"/>
                <w:szCs w:val="20"/>
              </w:rPr>
              <w:t>He infants</w:t>
            </w:r>
          </w:p>
        </w:tc>
        <w:tc>
          <w:tcPr>
            <w:tcW w:w="1400" w:type="dxa"/>
          </w:tcPr>
          <w:p w14:paraId="57C7E01D" w14:textId="77777777" w:rsidR="003310A9" w:rsidRPr="00CE7EB7" w:rsidRDefault="00235995">
            <w:pPr>
              <w:spacing w:after="0" w:line="240" w:lineRule="auto"/>
              <w:rPr>
                <w:rFonts w:ascii="Aptos" w:hAnsi="Aptos"/>
                <w:sz w:val="20"/>
                <w:szCs w:val="20"/>
              </w:rPr>
            </w:pPr>
            <w:r w:rsidRPr="00CE7EB7">
              <w:rPr>
                <w:rFonts w:ascii="Aptos" w:hAnsi="Aptos"/>
                <w:sz w:val="20"/>
                <w:szCs w:val="20"/>
              </w:rPr>
              <w:t>222</w:t>
            </w:r>
          </w:p>
        </w:tc>
        <w:tc>
          <w:tcPr>
            <w:tcW w:w="1200" w:type="dxa"/>
          </w:tcPr>
          <w:p w14:paraId="29EDAC4D"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1DF7D1CD"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1300" w:type="dxa"/>
          </w:tcPr>
          <w:p w14:paraId="4738786B"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500" w:type="dxa"/>
          </w:tcPr>
          <w:p w14:paraId="5C707DA2" w14:textId="77777777" w:rsidR="003310A9" w:rsidRPr="00CE7EB7" w:rsidRDefault="00235995">
            <w:pPr>
              <w:spacing w:after="0" w:line="240" w:lineRule="auto"/>
              <w:rPr>
                <w:rFonts w:ascii="Aptos" w:hAnsi="Aptos"/>
                <w:sz w:val="20"/>
                <w:szCs w:val="20"/>
              </w:rPr>
            </w:pPr>
            <w:r w:rsidRPr="00CE7EB7">
              <w:rPr>
                <w:rFonts w:ascii="Aptos" w:hAnsi="Aptos"/>
                <w:sz w:val="20"/>
                <w:szCs w:val="20"/>
              </w:rPr>
              <w:t>10.0</w:t>
            </w:r>
          </w:p>
        </w:tc>
      </w:tr>
      <w:tr w:rsidR="003310A9" w:rsidRPr="00CE7EB7" w14:paraId="61BE8300" w14:textId="77777777">
        <w:trPr>
          <w:cantSplit/>
        </w:trPr>
        <w:tc>
          <w:tcPr>
            <w:tcW w:w="2300" w:type="dxa"/>
          </w:tcPr>
          <w:p w14:paraId="5D416582" w14:textId="77777777" w:rsidR="003310A9" w:rsidRPr="00CE7EB7" w:rsidRDefault="00235995">
            <w:pPr>
              <w:spacing w:after="0" w:line="240" w:lineRule="auto"/>
              <w:rPr>
                <w:rFonts w:ascii="Aptos" w:hAnsi="Aptos"/>
                <w:sz w:val="20"/>
                <w:szCs w:val="20"/>
              </w:rPr>
            </w:pPr>
            <w:r w:rsidRPr="00CE7EB7">
              <w:rPr>
                <w:rFonts w:ascii="Aptos" w:hAnsi="Aptos"/>
                <w:sz w:val="20"/>
                <w:szCs w:val="20"/>
              </w:rPr>
              <w:t>Wang ESRD</w:t>
            </w:r>
          </w:p>
        </w:tc>
        <w:tc>
          <w:tcPr>
            <w:tcW w:w="1400" w:type="dxa"/>
          </w:tcPr>
          <w:p w14:paraId="30E00910" w14:textId="77777777" w:rsidR="003310A9" w:rsidRPr="00CE7EB7" w:rsidRDefault="00235995">
            <w:pPr>
              <w:spacing w:after="0" w:line="240" w:lineRule="auto"/>
              <w:rPr>
                <w:rFonts w:ascii="Aptos" w:hAnsi="Aptos"/>
                <w:sz w:val="20"/>
                <w:szCs w:val="20"/>
              </w:rPr>
            </w:pPr>
            <w:r w:rsidRPr="00CE7EB7">
              <w:rPr>
                <w:rFonts w:ascii="Aptos" w:hAnsi="Aptos"/>
                <w:sz w:val="20"/>
                <w:szCs w:val="20"/>
              </w:rPr>
              <w:t>230</w:t>
            </w:r>
          </w:p>
        </w:tc>
        <w:tc>
          <w:tcPr>
            <w:tcW w:w="1200" w:type="dxa"/>
          </w:tcPr>
          <w:p w14:paraId="1DC886AD"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30E368D9"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1300" w:type="dxa"/>
          </w:tcPr>
          <w:p w14:paraId="1F3A2A0C"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500" w:type="dxa"/>
          </w:tcPr>
          <w:p w14:paraId="156BC057" w14:textId="77777777" w:rsidR="003310A9" w:rsidRPr="00CE7EB7" w:rsidRDefault="00235995">
            <w:pPr>
              <w:spacing w:after="0" w:line="240" w:lineRule="auto"/>
              <w:rPr>
                <w:rFonts w:ascii="Aptos" w:hAnsi="Aptos"/>
                <w:sz w:val="20"/>
                <w:szCs w:val="20"/>
              </w:rPr>
            </w:pPr>
            <w:r w:rsidRPr="00CE7EB7">
              <w:rPr>
                <w:rFonts w:ascii="Aptos" w:hAnsi="Aptos"/>
                <w:sz w:val="20"/>
                <w:szCs w:val="20"/>
              </w:rPr>
              <w:t>10.0</w:t>
            </w:r>
          </w:p>
        </w:tc>
      </w:tr>
      <w:tr w:rsidR="003310A9" w:rsidRPr="00CE7EB7" w14:paraId="3BCC9855" w14:textId="77777777">
        <w:trPr>
          <w:cantSplit/>
        </w:trPr>
        <w:tc>
          <w:tcPr>
            <w:tcW w:w="2300" w:type="dxa"/>
          </w:tcPr>
          <w:p w14:paraId="64B47615" w14:textId="77777777" w:rsidR="003310A9" w:rsidRPr="00CE7EB7" w:rsidRDefault="00235995">
            <w:pPr>
              <w:spacing w:after="0" w:line="240" w:lineRule="auto"/>
              <w:rPr>
                <w:rFonts w:ascii="Aptos" w:hAnsi="Aptos"/>
                <w:sz w:val="20"/>
                <w:szCs w:val="20"/>
              </w:rPr>
            </w:pPr>
            <w:r w:rsidRPr="00CE7EB7">
              <w:rPr>
                <w:rFonts w:ascii="Aptos" w:hAnsi="Aptos"/>
                <w:sz w:val="20"/>
                <w:szCs w:val="20"/>
              </w:rPr>
              <w:t>Yachida CRC</w:t>
            </w:r>
          </w:p>
        </w:tc>
        <w:tc>
          <w:tcPr>
            <w:tcW w:w="1400" w:type="dxa"/>
          </w:tcPr>
          <w:p w14:paraId="7A22F0B9" w14:textId="77777777" w:rsidR="003310A9" w:rsidRPr="00CE7EB7" w:rsidRDefault="00235995">
            <w:pPr>
              <w:spacing w:after="0" w:line="240" w:lineRule="auto"/>
              <w:rPr>
                <w:rFonts w:ascii="Aptos" w:hAnsi="Aptos"/>
                <w:sz w:val="20"/>
                <w:szCs w:val="20"/>
              </w:rPr>
            </w:pPr>
            <w:r w:rsidRPr="00CE7EB7">
              <w:rPr>
                <w:rFonts w:ascii="Aptos" w:hAnsi="Aptos"/>
                <w:sz w:val="20"/>
                <w:szCs w:val="20"/>
              </w:rPr>
              <w:t>278</w:t>
            </w:r>
          </w:p>
        </w:tc>
        <w:tc>
          <w:tcPr>
            <w:tcW w:w="1200" w:type="dxa"/>
          </w:tcPr>
          <w:p w14:paraId="2979D508"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200" w:type="dxa"/>
          </w:tcPr>
          <w:p w14:paraId="41EE5611" w14:textId="77777777" w:rsidR="003310A9" w:rsidRPr="00CE7EB7" w:rsidRDefault="00235995">
            <w:pPr>
              <w:spacing w:after="0" w:line="240" w:lineRule="auto"/>
              <w:rPr>
                <w:rFonts w:ascii="Aptos" w:hAnsi="Aptos"/>
                <w:sz w:val="20"/>
                <w:szCs w:val="20"/>
              </w:rPr>
            </w:pPr>
            <w:r w:rsidRPr="00CE7EB7">
              <w:rPr>
                <w:rFonts w:ascii="Aptos" w:hAnsi="Aptos"/>
                <w:sz w:val="20"/>
                <w:szCs w:val="20"/>
              </w:rPr>
              <w:t>10</w:t>
            </w:r>
          </w:p>
        </w:tc>
        <w:tc>
          <w:tcPr>
            <w:tcW w:w="1300" w:type="dxa"/>
          </w:tcPr>
          <w:p w14:paraId="6F68B2EC" w14:textId="77777777" w:rsidR="003310A9" w:rsidRPr="00CE7EB7" w:rsidRDefault="00235995">
            <w:pPr>
              <w:spacing w:after="0" w:line="240" w:lineRule="auto"/>
              <w:rPr>
                <w:rFonts w:ascii="Aptos" w:hAnsi="Aptos"/>
                <w:sz w:val="20"/>
                <w:szCs w:val="20"/>
              </w:rPr>
            </w:pPr>
            <w:r w:rsidRPr="00CE7EB7">
              <w:rPr>
                <w:rFonts w:ascii="Aptos" w:hAnsi="Aptos"/>
                <w:sz w:val="20"/>
                <w:szCs w:val="20"/>
              </w:rPr>
              <w:t>24</w:t>
            </w:r>
          </w:p>
        </w:tc>
        <w:tc>
          <w:tcPr>
            <w:tcW w:w="1500" w:type="dxa"/>
          </w:tcPr>
          <w:p w14:paraId="1EA50564" w14:textId="77777777" w:rsidR="003310A9" w:rsidRPr="00CE7EB7" w:rsidRDefault="00235995">
            <w:pPr>
              <w:spacing w:after="0" w:line="240" w:lineRule="auto"/>
              <w:rPr>
                <w:rFonts w:ascii="Aptos" w:hAnsi="Aptos"/>
                <w:sz w:val="20"/>
                <w:szCs w:val="20"/>
              </w:rPr>
            </w:pPr>
            <w:r w:rsidRPr="00CE7EB7">
              <w:rPr>
                <w:rFonts w:ascii="Aptos" w:hAnsi="Aptos"/>
                <w:sz w:val="20"/>
                <w:szCs w:val="20"/>
              </w:rPr>
              <w:t>10.0</w:t>
            </w:r>
          </w:p>
        </w:tc>
      </w:tr>
    </w:tbl>
    <w:p w14:paraId="32FCC7E7" w14:textId="77777777" w:rsidR="0075453E" w:rsidRPr="00CE7EB7" w:rsidRDefault="0075453E">
      <w:pPr>
        <w:spacing w:line="480" w:lineRule="auto"/>
        <w:rPr>
          <w:rFonts w:ascii="Aptos" w:hAnsi="Aptos"/>
          <w:b/>
          <w:bCs/>
        </w:rPr>
      </w:pPr>
    </w:p>
    <w:p w14:paraId="268DA649"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7</w:t>
      </w:r>
      <w:r w:rsidRPr="00CE7EB7">
        <w:rPr>
          <w:rFonts w:ascii="Aptos" w:hAnsi="Aptos"/>
          <w:color w:val="000000" w:themeColor="text1"/>
        </w:rPr>
        <w:t xml:space="preserve"> Selected dimension count can overstate recovery of the true signal subspace.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331D" w:rsidRPr="00CE7EB7" w14:paraId="31E57280" w14:textId="77777777">
        <w:trPr>
          <w:tblHeader/>
          <w:jc w:val="center"/>
        </w:trPr>
        <w:tc>
          <w:tcPr>
            <w:tcW w:w="1987" w:type="dxa"/>
            <w:shd w:val="clear" w:color="auto" w:fill="E7E6E6"/>
          </w:tcPr>
          <w:p w14:paraId="23310F4B"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Sample size</w:t>
            </w:r>
          </w:p>
        </w:tc>
        <w:tc>
          <w:tcPr>
            <w:tcW w:w="1987" w:type="dxa"/>
            <w:shd w:val="clear" w:color="auto" w:fill="E7E6E6"/>
          </w:tcPr>
          <w:p w14:paraId="2C2482BE"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Population signal</w:t>
            </w:r>
          </w:p>
        </w:tc>
        <w:tc>
          <w:tcPr>
            <w:tcW w:w="1987" w:type="dxa"/>
            <w:shd w:val="clear" w:color="auto" w:fill="E7E6E6"/>
          </w:tcPr>
          <w:p w14:paraId="0FB88C57"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Per-direction share</w:t>
            </w:r>
          </w:p>
        </w:tc>
        <w:tc>
          <w:tcPr>
            <w:tcW w:w="1987" w:type="dxa"/>
            <w:shd w:val="clear" w:color="auto" w:fill="E7E6E6"/>
          </w:tcPr>
          <w:p w14:paraId="35ECACDD"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Dimensions retained</w:t>
            </w:r>
          </w:p>
        </w:tc>
        <w:tc>
          <w:tcPr>
            <w:tcW w:w="1987" w:type="dxa"/>
            <w:shd w:val="clear" w:color="auto" w:fill="E7E6E6"/>
          </w:tcPr>
          <w:p w14:paraId="53B06A28"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Signal variance captured</w:t>
            </w:r>
          </w:p>
        </w:tc>
      </w:tr>
      <w:tr w:rsidR="0070331D" w:rsidRPr="00CE7EB7" w14:paraId="5C1ABD42" w14:textId="77777777">
        <w:trPr>
          <w:jc w:val="center"/>
        </w:trPr>
        <w:tc>
          <w:tcPr>
            <w:tcW w:w="1987" w:type="dxa"/>
          </w:tcPr>
          <w:p w14:paraId="4A66568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60</m:t>
                </m:r>
              </m:oMath>
            </m:oMathPara>
          </w:p>
        </w:tc>
        <w:tc>
          <w:tcPr>
            <w:tcW w:w="1987" w:type="dxa"/>
          </w:tcPr>
          <w:p w14:paraId="5312D54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m:t>
                </m:r>
              </m:oMath>
            </m:oMathPara>
          </w:p>
        </w:tc>
        <w:tc>
          <w:tcPr>
            <w:tcW w:w="1987" w:type="dxa"/>
          </w:tcPr>
          <w:p w14:paraId="148C18C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m:t>
                </m:r>
                <m:r>
                  <m:rPr>
                    <m:sty m:val="p"/>
                  </m:rPr>
                  <w:rPr>
                    <w:rFonts w:ascii="Cambria Math" w:hAnsi="Cambria Math"/>
                    <w:color w:val="000000" w:themeColor="text1"/>
                    <w:sz w:val="20"/>
                    <w:szCs w:val="20"/>
                  </w:rPr>
                  <m:t>%</m:t>
                </m:r>
              </m:oMath>
            </m:oMathPara>
          </w:p>
        </w:tc>
        <w:tc>
          <w:tcPr>
            <w:tcW w:w="1987" w:type="dxa"/>
          </w:tcPr>
          <w:p w14:paraId="5D9E341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0.01</m:t>
                </m:r>
              </m:oMath>
            </m:oMathPara>
          </w:p>
        </w:tc>
        <w:tc>
          <w:tcPr>
            <w:tcW w:w="1987" w:type="dxa"/>
          </w:tcPr>
          <w:p w14:paraId="19408AD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0.01</m:t>
                </m:r>
              </m:oMath>
            </m:oMathPara>
          </w:p>
        </w:tc>
      </w:tr>
      <w:tr w:rsidR="0070331D" w:rsidRPr="00CE7EB7" w14:paraId="0904C639" w14:textId="77777777">
        <w:trPr>
          <w:jc w:val="center"/>
        </w:trPr>
        <w:tc>
          <w:tcPr>
            <w:tcW w:w="1987" w:type="dxa"/>
          </w:tcPr>
          <w:p w14:paraId="08DB697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176</m:t>
                </m:r>
              </m:oMath>
            </m:oMathPara>
          </w:p>
        </w:tc>
        <w:tc>
          <w:tcPr>
            <w:tcW w:w="1987" w:type="dxa"/>
          </w:tcPr>
          <w:p w14:paraId="6468CD1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m:t>
                </m:r>
              </m:oMath>
            </m:oMathPara>
          </w:p>
        </w:tc>
        <w:tc>
          <w:tcPr>
            <w:tcW w:w="1987" w:type="dxa"/>
          </w:tcPr>
          <w:p w14:paraId="23900E2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m:t>
                </m:r>
                <m:r>
                  <m:rPr>
                    <m:sty m:val="p"/>
                  </m:rPr>
                  <w:rPr>
                    <w:rFonts w:ascii="Cambria Math" w:hAnsi="Cambria Math"/>
                    <w:color w:val="000000" w:themeColor="text1"/>
                    <w:sz w:val="20"/>
                    <w:szCs w:val="20"/>
                  </w:rPr>
                  <m:t>%</m:t>
                </m:r>
              </m:oMath>
            </m:oMathPara>
          </w:p>
        </w:tc>
        <w:tc>
          <w:tcPr>
            <w:tcW w:w="1987" w:type="dxa"/>
          </w:tcPr>
          <w:p w14:paraId="687B7CC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0.09</m:t>
                </m:r>
              </m:oMath>
            </m:oMathPara>
          </w:p>
        </w:tc>
        <w:tc>
          <w:tcPr>
            <w:tcW w:w="1987" w:type="dxa"/>
          </w:tcPr>
          <w:p w14:paraId="646EC83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0.07</m:t>
                </m:r>
              </m:oMath>
            </m:oMathPara>
          </w:p>
        </w:tc>
      </w:tr>
      <w:tr w:rsidR="0070331D" w:rsidRPr="00CE7EB7" w14:paraId="4F020C20" w14:textId="77777777">
        <w:trPr>
          <w:jc w:val="center"/>
        </w:trPr>
        <w:tc>
          <w:tcPr>
            <w:tcW w:w="1987" w:type="dxa"/>
          </w:tcPr>
          <w:p w14:paraId="1735281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278</m:t>
                </m:r>
              </m:oMath>
            </m:oMathPara>
          </w:p>
        </w:tc>
        <w:tc>
          <w:tcPr>
            <w:tcW w:w="1987" w:type="dxa"/>
          </w:tcPr>
          <w:p w14:paraId="6D4EBFD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m:t>
                </m:r>
              </m:oMath>
            </m:oMathPara>
          </w:p>
        </w:tc>
        <w:tc>
          <w:tcPr>
            <w:tcW w:w="1987" w:type="dxa"/>
          </w:tcPr>
          <w:p w14:paraId="012330C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m:t>
                </m:r>
                <m:r>
                  <m:rPr>
                    <m:sty m:val="p"/>
                  </m:rPr>
                  <w:rPr>
                    <w:rFonts w:ascii="Cambria Math" w:hAnsi="Cambria Math"/>
                    <w:color w:val="000000" w:themeColor="text1"/>
                    <w:sz w:val="20"/>
                    <w:szCs w:val="20"/>
                  </w:rPr>
                  <m:t>%</m:t>
                </m:r>
              </m:oMath>
            </m:oMathPara>
          </w:p>
        </w:tc>
        <w:tc>
          <w:tcPr>
            <w:tcW w:w="1987" w:type="dxa"/>
          </w:tcPr>
          <w:p w14:paraId="3E13955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0.84</m:t>
                </m:r>
              </m:oMath>
            </m:oMathPara>
          </w:p>
        </w:tc>
        <w:tc>
          <w:tcPr>
            <w:tcW w:w="1987" w:type="dxa"/>
          </w:tcPr>
          <w:p w14:paraId="105604C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0.69</m:t>
                </m:r>
              </m:oMath>
            </m:oMathPara>
          </w:p>
        </w:tc>
      </w:tr>
      <w:tr w:rsidR="0070331D" w:rsidRPr="00CE7EB7" w14:paraId="08296254" w14:textId="77777777">
        <w:trPr>
          <w:jc w:val="center"/>
        </w:trPr>
        <w:tc>
          <w:tcPr>
            <w:tcW w:w="1987" w:type="dxa"/>
          </w:tcPr>
          <w:p w14:paraId="1C980C8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176</m:t>
                </m:r>
              </m:oMath>
            </m:oMathPara>
          </w:p>
        </w:tc>
        <w:tc>
          <w:tcPr>
            <w:tcW w:w="1987" w:type="dxa"/>
          </w:tcPr>
          <w:p w14:paraId="102670C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0.15</m:t>
                </m:r>
              </m:oMath>
            </m:oMathPara>
          </w:p>
        </w:tc>
        <w:tc>
          <w:tcPr>
            <w:tcW w:w="1987" w:type="dxa"/>
          </w:tcPr>
          <w:p w14:paraId="2DC0C62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1.5</m:t>
                </m:r>
                <m:r>
                  <m:rPr>
                    <m:sty m:val="p"/>
                  </m:rPr>
                  <w:rPr>
                    <w:rFonts w:ascii="Cambria Math" w:hAnsi="Cambria Math"/>
                    <w:color w:val="000000" w:themeColor="text1"/>
                    <w:sz w:val="20"/>
                    <w:szCs w:val="20"/>
                  </w:rPr>
                  <m:t>%</m:t>
                </m:r>
              </m:oMath>
            </m:oMathPara>
          </w:p>
        </w:tc>
        <w:tc>
          <w:tcPr>
            <w:tcW w:w="1987" w:type="dxa"/>
          </w:tcPr>
          <w:p w14:paraId="577D98E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0.84</m:t>
                </m:r>
              </m:oMath>
            </m:oMathPara>
          </w:p>
        </w:tc>
        <w:tc>
          <w:tcPr>
            <w:tcW w:w="1987" w:type="dxa"/>
          </w:tcPr>
          <w:p w14:paraId="0860E477"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0.69</m:t>
                </m:r>
              </m:oMath>
            </m:oMathPara>
          </w:p>
        </w:tc>
      </w:tr>
      <w:tr w:rsidR="0070331D" w:rsidRPr="00CE7EB7" w14:paraId="084D7182" w14:textId="77777777">
        <w:trPr>
          <w:jc w:val="center"/>
        </w:trPr>
        <w:tc>
          <w:tcPr>
            <w:tcW w:w="1987" w:type="dxa"/>
          </w:tcPr>
          <w:p w14:paraId="36ADF3B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176</m:t>
                </m:r>
              </m:oMath>
            </m:oMathPara>
          </w:p>
        </w:tc>
        <w:tc>
          <w:tcPr>
            <w:tcW w:w="1987" w:type="dxa"/>
          </w:tcPr>
          <w:p w14:paraId="4A6BFDC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0.20</m:t>
                </m:r>
              </m:oMath>
            </m:oMathPara>
          </w:p>
        </w:tc>
        <w:tc>
          <w:tcPr>
            <w:tcW w:w="1987" w:type="dxa"/>
          </w:tcPr>
          <w:p w14:paraId="2BF3F25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2.0</m:t>
                </m:r>
                <m:r>
                  <m:rPr>
                    <m:sty m:val="p"/>
                  </m:rPr>
                  <w:rPr>
                    <w:rFonts w:ascii="Cambria Math" w:hAnsi="Cambria Math"/>
                    <w:color w:val="000000" w:themeColor="text1"/>
                    <w:sz w:val="20"/>
                    <w:szCs w:val="20"/>
                  </w:rPr>
                  <m:t>%</m:t>
                </m:r>
              </m:oMath>
            </m:oMathPara>
          </w:p>
        </w:tc>
        <w:tc>
          <w:tcPr>
            <w:tcW w:w="1987" w:type="dxa"/>
          </w:tcPr>
          <w:p w14:paraId="48A4EA2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0.98</m:t>
                </m:r>
              </m:oMath>
            </m:oMathPara>
          </w:p>
        </w:tc>
        <w:tc>
          <w:tcPr>
            <w:tcW w:w="1987" w:type="dxa"/>
          </w:tcPr>
          <w:p w14:paraId="79B74E8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0.85</m:t>
                </m:r>
              </m:oMath>
            </m:oMathPara>
          </w:p>
        </w:tc>
      </w:tr>
    </w:tbl>
    <w:p w14:paraId="1E084C7D" w14:textId="77777777" w:rsidR="0075453E" w:rsidRPr="00CE7EB7" w:rsidRDefault="0075453E">
      <w:pPr>
        <w:pStyle w:val="Heading2"/>
        <w:spacing w:before="0"/>
        <w:rPr>
          <w:rFonts w:ascii="Aptos" w:hAnsi="Aptos"/>
          <w:sz w:val="21"/>
        </w:rPr>
      </w:pPr>
    </w:p>
    <w:p w14:paraId="3F6B1D18" w14:textId="77777777" w:rsidR="003310A9" w:rsidRPr="00CE7EB7" w:rsidRDefault="00235995">
      <w:pPr>
        <w:pStyle w:val="Heading2"/>
        <w:spacing w:before="0"/>
        <w:rPr>
          <w:rFonts w:ascii="Aptos" w:hAnsi="Aptos"/>
        </w:rPr>
      </w:pPr>
      <w:r w:rsidRPr="00CE7EB7">
        <w:rPr>
          <w:rFonts w:ascii="Aptos" w:hAnsi="Aptos"/>
          <w:sz w:val="21"/>
        </w:rPr>
        <w:t>hCom2 baseline reproduction and geometry</w:t>
      </w:r>
    </w:p>
    <w:p w14:paraId="0B47F8B7"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The deposited hCom2* computational system</w:t>
      </w:r>
      <w:r>
        <w:rPr>
          <w:rFonts w:ascii="Aptos" w:hAnsi="Aptos"/>
          <w:color w:val="000000" w:themeColor="text1"/>
          <w:vertAlign w:val="superscript"/>
        </w:rPr>
        <w:t>12–14</w:t>
      </w:r>
      <w:r>
        <w:rPr>
          <w:rFonts w:ascii="Aptos" w:hAnsi="Aptos"/>
          <w:color w:val="000000" w:themeColor="text1"/>
        </w:rPr>
        <w:t xml:space="preserve"> was independently reconstructed from the public sixty-three-strain consumption and production arrays, resource clustering, and serial-dilution abundance data. The reproduced baseline matches the deposited abundance prediction benchmark closely.</w:t>
      </w:r>
    </w:p>
    <w:p w14:paraId="631D3389"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8</w:t>
      </w:r>
      <w:r w:rsidRPr="00CE7EB7">
        <w:rPr>
          <w:rFonts w:ascii="Aptos" w:hAnsi="Aptos"/>
          <w:color w:val="000000" w:themeColor="text1"/>
        </w:rPr>
        <w:t xml:space="preserve"> hCom2* baseline reproduction. Thirty-eight fitted resources are nonzero in the reproduced baseline.</w:t>
      </w:r>
    </w:p>
    <w:tbl>
      <w:tblPr>
        <w:tblStyle w:val="TableGrid"/>
        <w:tblW w:w="0" w:type="auto"/>
        <w:jc w:val="center"/>
        <w:tblLook w:val="04A0" w:firstRow="1" w:lastRow="0" w:firstColumn="1" w:lastColumn="0" w:noHBand="0" w:noVBand="1"/>
      </w:tblPr>
      <w:tblGrid>
        <w:gridCol w:w="2484"/>
        <w:gridCol w:w="2484"/>
        <w:gridCol w:w="2484"/>
        <w:gridCol w:w="2484"/>
      </w:tblGrid>
      <w:tr w:rsidR="0070331D" w:rsidRPr="00CE7EB7" w14:paraId="22754358" w14:textId="77777777">
        <w:trPr>
          <w:tblHeader/>
          <w:jc w:val="center"/>
        </w:trPr>
        <w:tc>
          <w:tcPr>
            <w:tcW w:w="2484" w:type="dxa"/>
            <w:shd w:val="clear" w:color="auto" w:fill="E7E6E6"/>
          </w:tcPr>
          <w:p w14:paraId="724EEB4E"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Passage</w:t>
            </w:r>
          </w:p>
        </w:tc>
        <w:tc>
          <w:tcPr>
            <w:tcW w:w="2484" w:type="dxa"/>
            <w:shd w:val="clear" w:color="auto" w:fill="E7E6E6"/>
          </w:tcPr>
          <w:p w14:paraId="58A5F5B0"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Pearson</w:t>
            </w:r>
          </w:p>
        </w:tc>
        <w:tc>
          <w:tcPr>
            <w:tcW w:w="2484" w:type="dxa"/>
            <w:shd w:val="clear" w:color="auto" w:fill="E7E6E6"/>
          </w:tcPr>
          <w:p w14:paraId="71CF3F6B"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Spearman</w:t>
            </w:r>
          </w:p>
        </w:tc>
        <w:tc>
          <w:tcPr>
            <w:tcW w:w="2484" w:type="dxa"/>
            <w:shd w:val="clear" w:color="auto" w:fill="E7E6E6"/>
          </w:tcPr>
          <w:p w14:paraId="36C0EDF3"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Base-10 log RMSE</w:t>
            </w:r>
          </w:p>
        </w:tc>
      </w:tr>
      <w:tr w:rsidR="0070331D" w:rsidRPr="00CE7EB7" w14:paraId="135F4A0A" w14:textId="77777777">
        <w:trPr>
          <w:jc w:val="center"/>
        </w:trPr>
        <w:tc>
          <w:tcPr>
            <w:tcW w:w="2484" w:type="dxa"/>
          </w:tcPr>
          <w:p w14:paraId="07A54610"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Passage 1</w:t>
            </w:r>
          </w:p>
        </w:tc>
        <w:tc>
          <w:tcPr>
            <w:tcW w:w="2484" w:type="dxa"/>
          </w:tcPr>
          <w:p w14:paraId="6A7D850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0.5757</m:t>
                </m:r>
              </m:oMath>
            </m:oMathPara>
          </w:p>
        </w:tc>
        <w:tc>
          <w:tcPr>
            <w:tcW w:w="2484" w:type="dxa"/>
          </w:tcPr>
          <w:p w14:paraId="6C65B76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0.5262</m:t>
                </m:r>
              </m:oMath>
            </m:oMathPara>
          </w:p>
        </w:tc>
        <w:tc>
          <w:tcPr>
            <w:tcW w:w="2484" w:type="dxa"/>
          </w:tcPr>
          <w:p w14:paraId="153AFF4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1.360</m:t>
                </m:r>
              </m:oMath>
            </m:oMathPara>
          </w:p>
        </w:tc>
      </w:tr>
      <w:tr w:rsidR="0070331D" w:rsidRPr="00CE7EB7" w14:paraId="3D609EEF" w14:textId="77777777">
        <w:trPr>
          <w:jc w:val="center"/>
        </w:trPr>
        <w:tc>
          <w:tcPr>
            <w:tcW w:w="2484" w:type="dxa"/>
          </w:tcPr>
          <w:p w14:paraId="49A82AEA"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Passage 2</w:t>
            </w:r>
          </w:p>
        </w:tc>
        <w:tc>
          <w:tcPr>
            <w:tcW w:w="2484" w:type="dxa"/>
          </w:tcPr>
          <w:p w14:paraId="53831F3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0.7704</m:t>
                </m:r>
              </m:oMath>
            </m:oMathPara>
          </w:p>
        </w:tc>
        <w:tc>
          <w:tcPr>
            <w:tcW w:w="2484" w:type="dxa"/>
          </w:tcPr>
          <w:p w14:paraId="68512A0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0.8117</m:t>
                </m:r>
              </m:oMath>
            </m:oMathPara>
          </w:p>
        </w:tc>
        <w:tc>
          <w:tcPr>
            <w:tcW w:w="2484" w:type="dxa"/>
          </w:tcPr>
          <w:p w14:paraId="0CC6B02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1.448</m:t>
                </m:r>
              </m:oMath>
            </m:oMathPara>
          </w:p>
        </w:tc>
      </w:tr>
      <w:tr w:rsidR="0070331D" w:rsidRPr="00CE7EB7" w14:paraId="2DC6B1B2" w14:textId="77777777">
        <w:trPr>
          <w:jc w:val="center"/>
        </w:trPr>
        <w:tc>
          <w:tcPr>
            <w:tcW w:w="2484" w:type="dxa"/>
          </w:tcPr>
          <w:p w14:paraId="3EBE1DB3"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Passage 3</w:t>
            </w:r>
          </w:p>
        </w:tc>
        <w:tc>
          <w:tcPr>
            <w:tcW w:w="2484" w:type="dxa"/>
          </w:tcPr>
          <w:p w14:paraId="1E8644E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0.7730</m:t>
                </m:r>
              </m:oMath>
            </m:oMathPara>
          </w:p>
        </w:tc>
        <w:tc>
          <w:tcPr>
            <w:tcW w:w="2484" w:type="dxa"/>
          </w:tcPr>
          <w:p w14:paraId="200F1D5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0.7959</m:t>
                </m:r>
              </m:oMath>
            </m:oMathPara>
          </w:p>
        </w:tc>
        <w:tc>
          <w:tcPr>
            <w:tcW w:w="2484" w:type="dxa"/>
          </w:tcPr>
          <w:p w14:paraId="7EE4E23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1.697</m:t>
                </m:r>
              </m:oMath>
            </m:oMathPara>
          </w:p>
        </w:tc>
      </w:tr>
    </w:tbl>
    <w:p w14:paraId="3A9BB42F" w14:textId="77777777" w:rsidR="0075453E" w:rsidRPr="00CE7EB7" w:rsidRDefault="0075453E">
      <w:pPr>
        <w:spacing w:line="480" w:lineRule="auto"/>
        <w:rPr>
          <w:rFonts w:ascii="Aptos" w:hAnsi="Aptos"/>
          <w:b/>
          <w:bCs/>
        </w:rPr>
      </w:pPr>
    </w:p>
    <w:p w14:paraId="025C4399"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9</w:t>
      </w:r>
      <w:r w:rsidRPr="00CE7EB7">
        <w:rPr>
          <w:rFonts w:ascii="Aptos" w:hAnsi="Aptos"/>
          <w:color w:val="000000" w:themeColor="text1"/>
        </w:rPr>
        <w:t xml:space="preserve"> Geometry of the exact hCom2* model-input consumption matrix and diagnostic variants.</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70331D" w:rsidRPr="00CE7EB7" w14:paraId="07D57018" w14:textId="77777777">
        <w:trPr>
          <w:tblHeader/>
          <w:jc w:val="center"/>
        </w:trPr>
        <w:tc>
          <w:tcPr>
            <w:tcW w:w="1419" w:type="dxa"/>
            <w:shd w:val="clear" w:color="auto" w:fill="E7E6E6"/>
          </w:tcPr>
          <w:p w14:paraId="2899F3DD"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Matrix</w:t>
            </w:r>
          </w:p>
        </w:tc>
        <w:tc>
          <w:tcPr>
            <w:tcW w:w="1419" w:type="dxa"/>
            <w:shd w:val="clear" w:color="auto" w:fill="E7E6E6"/>
          </w:tcPr>
          <w:p w14:paraId="352D305E"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Participation dimension</w:t>
            </w:r>
          </w:p>
        </w:tc>
        <w:tc>
          <w:tcPr>
            <w:tcW w:w="1419" w:type="dxa"/>
            <w:shd w:val="clear" w:color="auto" w:fill="E7E6E6"/>
          </w:tcPr>
          <w:p w14:paraId="21A550C7"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Entropy dimension</w:t>
            </w:r>
          </w:p>
        </w:tc>
        <w:tc>
          <w:tcPr>
            <w:tcW w:w="1419" w:type="dxa"/>
            <w:shd w:val="clear" w:color="auto" w:fill="E7E6E6"/>
          </w:tcPr>
          <w:p w14:paraId="5E18B8D5" w14:textId="77777777" w:rsidR="0070331D" w:rsidRPr="00CE7EB7" w:rsidRDefault="002B22C3">
            <w:pPr>
              <w:spacing w:line="240" w:lineRule="auto"/>
              <w:rPr>
                <w:rFonts w:ascii="Aptos" w:hAnsi="Aptos"/>
                <w:color w:val="000000" w:themeColor="text1"/>
                <w:sz w:val="20"/>
                <w:szCs w:val="20"/>
              </w:rPr>
            </w:pPr>
            <m:oMathPara>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90</m:t>
                    </m:r>
                  </m:sub>
                </m:sSub>
              </m:oMath>
            </m:oMathPara>
          </w:p>
        </w:tc>
        <w:tc>
          <w:tcPr>
            <w:tcW w:w="1419" w:type="dxa"/>
            <w:shd w:val="clear" w:color="auto" w:fill="E7E6E6"/>
          </w:tcPr>
          <w:p w14:paraId="7577BBB6" w14:textId="77777777" w:rsidR="0070331D" w:rsidRPr="00CE7EB7" w:rsidRDefault="002B22C3">
            <w:pPr>
              <w:spacing w:line="240" w:lineRule="auto"/>
              <w:rPr>
                <w:rFonts w:ascii="Aptos" w:hAnsi="Aptos"/>
                <w:color w:val="000000" w:themeColor="text1"/>
                <w:sz w:val="20"/>
                <w:szCs w:val="20"/>
              </w:rPr>
            </w:pPr>
            <m:oMathPara>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95</m:t>
                    </m:r>
                  </m:sub>
                </m:sSub>
              </m:oMath>
            </m:oMathPara>
          </w:p>
        </w:tc>
        <w:tc>
          <w:tcPr>
            <w:tcW w:w="1419" w:type="dxa"/>
            <w:shd w:val="clear" w:color="auto" w:fill="E7E6E6"/>
          </w:tcPr>
          <w:p w14:paraId="0D692A62"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Leading energy</w:t>
            </w:r>
          </w:p>
        </w:tc>
        <w:tc>
          <w:tcPr>
            <w:tcW w:w="1419" w:type="dxa"/>
            <w:shd w:val="clear" w:color="auto" w:fill="E7E6E6"/>
          </w:tcPr>
          <w:p w14:paraId="168BAF6C"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Numerical rank</w:t>
            </w:r>
          </w:p>
        </w:tc>
      </w:tr>
      <w:tr w:rsidR="0070331D" w:rsidRPr="00CE7EB7" w14:paraId="49AA091F" w14:textId="77777777">
        <w:trPr>
          <w:jc w:val="center"/>
        </w:trPr>
        <w:tc>
          <w:tcPr>
            <w:tcW w:w="1419" w:type="dxa"/>
          </w:tcPr>
          <w:p w14:paraId="223A027E"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Original</w:t>
            </w:r>
          </w:p>
        </w:tc>
        <w:tc>
          <w:tcPr>
            <w:tcW w:w="1419" w:type="dxa"/>
          </w:tcPr>
          <w:p w14:paraId="267E50F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3.270</m:t>
                </m:r>
              </m:oMath>
            </m:oMathPara>
          </w:p>
        </w:tc>
        <w:tc>
          <w:tcPr>
            <w:tcW w:w="1419" w:type="dxa"/>
          </w:tcPr>
          <w:p w14:paraId="56F538F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8.650</m:t>
                </m:r>
              </m:oMath>
            </m:oMathPara>
          </w:p>
        </w:tc>
        <w:tc>
          <w:tcPr>
            <w:tcW w:w="1419" w:type="dxa"/>
          </w:tcPr>
          <w:p w14:paraId="1896899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m:t>
                </m:r>
              </m:oMath>
            </m:oMathPara>
          </w:p>
        </w:tc>
        <w:tc>
          <w:tcPr>
            <w:tcW w:w="1419" w:type="dxa"/>
          </w:tcPr>
          <w:p w14:paraId="6229FC8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24</m:t>
                </m:r>
              </m:oMath>
            </m:oMathPara>
          </w:p>
        </w:tc>
        <w:tc>
          <w:tcPr>
            <w:tcW w:w="1419" w:type="dxa"/>
          </w:tcPr>
          <w:p w14:paraId="7FC91B6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0.540</m:t>
                </m:r>
              </m:oMath>
            </m:oMathPara>
          </w:p>
        </w:tc>
        <w:tc>
          <w:tcPr>
            <w:tcW w:w="1419" w:type="dxa"/>
          </w:tcPr>
          <w:p w14:paraId="612E561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63</m:t>
                </m:r>
              </m:oMath>
            </m:oMathPara>
          </w:p>
        </w:tc>
      </w:tr>
      <w:tr w:rsidR="0070331D" w:rsidRPr="00CE7EB7" w14:paraId="1E5F7B65" w14:textId="77777777">
        <w:trPr>
          <w:jc w:val="center"/>
        </w:trPr>
        <w:tc>
          <w:tcPr>
            <w:tcW w:w="1419" w:type="dxa"/>
          </w:tcPr>
          <w:p w14:paraId="1B2CD6C3"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Binary support</w:t>
            </w:r>
          </w:p>
        </w:tc>
        <w:tc>
          <w:tcPr>
            <w:tcW w:w="1419" w:type="dxa"/>
          </w:tcPr>
          <w:p w14:paraId="2237AAE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2.928</m:t>
                </m:r>
              </m:oMath>
            </m:oMathPara>
          </w:p>
        </w:tc>
        <w:tc>
          <w:tcPr>
            <w:tcW w:w="1419" w:type="dxa"/>
          </w:tcPr>
          <w:p w14:paraId="4CA4B61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8.180</m:t>
                </m:r>
              </m:oMath>
            </m:oMathPara>
          </w:p>
        </w:tc>
        <w:tc>
          <w:tcPr>
            <w:tcW w:w="1419" w:type="dxa"/>
          </w:tcPr>
          <w:p w14:paraId="65E9629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18</m:t>
                </m:r>
              </m:oMath>
            </m:oMathPara>
          </w:p>
        </w:tc>
        <w:tc>
          <w:tcPr>
            <w:tcW w:w="1419" w:type="dxa"/>
          </w:tcPr>
          <w:p w14:paraId="457858C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27</m:t>
                </m:r>
              </m:oMath>
            </m:oMathPara>
          </w:p>
        </w:tc>
        <w:tc>
          <w:tcPr>
            <w:tcW w:w="1419" w:type="dxa"/>
          </w:tcPr>
          <w:p w14:paraId="34F3ACC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0.576</m:t>
                </m:r>
              </m:oMath>
            </m:oMathPara>
          </w:p>
        </w:tc>
        <w:tc>
          <w:tcPr>
            <w:tcW w:w="1419" w:type="dxa"/>
          </w:tcPr>
          <w:p w14:paraId="0338354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63</m:t>
                </m:r>
              </m:oMath>
            </m:oMathPara>
          </w:p>
        </w:tc>
      </w:tr>
      <w:tr w:rsidR="0070331D" w:rsidRPr="00CE7EB7" w14:paraId="1A7753E5" w14:textId="77777777">
        <w:trPr>
          <w:jc w:val="center"/>
        </w:trPr>
        <w:tc>
          <w:tcPr>
            <w:tcW w:w="1419" w:type="dxa"/>
          </w:tcPr>
          <w:p w14:paraId="500D8C70" w14:textId="77777777" w:rsidR="0070331D" w:rsidRPr="00CE7EB7" w:rsidRDefault="006D3DA6">
            <w:pPr>
              <w:spacing w:line="240" w:lineRule="auto"/>
              <w:rPr>
                <w:rFonts w:ascii="Aptos" w:hAnsi="Aptos"/>
                <w:color w:val="000000" w:themeColor="text1"/>
                <w:sz w:val="20"/>
                <w:szCs w:val="20"/>
              </w:rPr>
            </w:pPr>
            <w:r w:rsidRPr="00CE7EB7">
              <w:rPr>
                <w:rFonts w:ascii="Aptos" w:hAnsi="Aptos"/>
                <w:color w:val="000000" w:themeColor="text1"/>
                <w:sz w:val="20"/>
                <w:szCs w:val="20"/>
              </w:rPr>
              <w:t>Row-normalized</w:t>
            </w:r>
          </w:p>
        </w:tc>
        <w:tc>
          <w:tcPr>
            <w:tcW w:w="1419" w:type="dxa"/>
          </w:tcPr>
          <w:p w14:paraId="32D17EC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3.504</m:t>
                </m:r>
              </m:oMath>
            </m:oMathPara>
          </w:p>
        </w:tc>
        <w:tc>
          <w:tcPr>
            <w:tcW w:w="1419" w:type="dxa"/>
          </w:tcPr>
          <w:p w14:paraId="29F8725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9.340</m:t>
                </m:r>
              </m:oMath>
            </m:oMathPara>
          </w:p>
        </w:tc>
        <w:tc>
          <w:tcPr>
            <w:tcW w:w="1419" w:type="dxa"/>
          </w:tcPr>
          <w:p w14:paraId="3B46CD8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18</m:t>
                </m:r>
              </m:oMath>
            </m:oMathPara>
          </w:p>
        </w:tc>
        <w:tc>
          <w:tcPr>
            <w:tcW w:w="1419" w:type="dxa"/>
          </w:tcPr>
          <w:p w14:paraId="26481CD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26</m:t>
                </m:r>
              </m:oMath>
            </m:oMathPara>
          </w:p>
        </w:tc>
        <w:tc>
          <w:tcPr>
            <w:tcW w:w="1419" w:type="dxa"/>
          </w:tcPr>
          <w:p w14:paraId="3787720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0.519</m:t>
                </m:r>
              </m:oMath>
            </m:oMathPara>
          </w:p>
        </w:tc>
        <w:tc>
          <w:tcPr>
            <w:tcW w:w="1419" w:type="dxa"/>
          </w:tcPr>
          <w:p w14:paraId="622E04B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63</m:t>
                </m:r>
              </m:oMath>
            </m:oMathPara>
          </w:p>
        </w:tc>
      </w:tr>
    </w:tbl>
    <w:p w14:paraId="6EDA3E3F" w14:textId="77777777" w:rsidR="0075453E" w:rsidRPr="00CE7EB7" w:rsidRDefault="0075453E">
      <w:pPr>
        <w:pStyle w:val="Heading2"/>
        <w:spacing w:before="0"/>
        <w:rPr>
          <w:rFonts w:ascii="Aptos" w:hAnsi="Aptos"/>
          <w:sz w:val="21"/>
        </w:rPr>
      </w:pPr>
    </w:p>
    <w:p w14:paraId="4592F0B8" w14:textId="77777777" w:rsidR="003310A9" w:rsidRPr="00CE7EB7" w:rsidRDefault="00235995">
      <w:pPr>
        <w:pStyle w:val="Heading2"/>
        <w:spacing w:before="0"/>
        <w:rPr>
          <w:rFonts w:ascii="Aptos" w:hAnsi="Aptos"/>
        </w:rPr>
      </w:pPr>
      <w:r w:rsidRPr="00CE7EB7">
        <w:rPr>
          <w:rFonts w:ascii="Aptos" w:hAnsi="Aptos"/>
          <w:sz w:val="21"/>
        </w:rPr>
        <w:t>hCom2*: low-rank approximation and predictive performance</w:t>
      </w:r>
    </w:p>
    <w:p w14:paraId="3129AA05" w14:textId="77777777" w:rsidR="0070331D" w:rsidRPr="00CE7EB7" w:rsidRDefault="002B22C3">
      <w:pPr>
        <w:spacing w:line="480" w:lineRule="auto"/>
        <w:rPr>
          <w:rFonts w:ascii="Aptos" w:hAnsi="Aptos"/>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RMSE</m:t>
                </m:r>
              </m:e>
              <m:sub>
                <m:r>
                  <m:rPr>
                    <m:sty m:val="p"/>
                  </m:rPr>
                  <w:rPr>
                    <w:rFonts w:ascii="Cambria Math" w:hAnsi="Cambria Math"/>
                    <w:color w:val="000000" w:themeColor="text1"/>
                  </w:rPr>
                  <m:t>null</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RMSE</m:t>
                </m:r>
              </m:e>
              <m:sub>
                <m:r>
                  <w:rPr>
                    <w:rFonts w:ascii="Cambria Math" w:hAnsi="Cambria Math"/>
                    <w:color w:val="000000" w:themeColor="text1"/>
                  </w:rPr>
                  <m:t>k</m:t>
                </m:r>
              </m:sub>
            </m:sSub>
          </m:num>
          <m:den>
            <m:sSub>
              <m:sSubPr>
                <m:ctrlPr>
                  <w:rPr>
                    <w:rFonts w:ascii="Cambria Math" w:hAnsi="Cambria Math"/>
                    <w:color w:val="000000" w:themeColor="text1"/>
                  </w:rPr>
                </m:ctrlPr>
              </m:sSubPr>
              <m:e>
                <m:r>
                  <m:rPr>
                    <m:sty m:val="p"/>
                  </m:rPr>
                  <w:rPr>
                    <w:rFonts w:ascii="Cambria Math" w:hAnsi="Cambria Math"/>
                    <w:color w:val="000000" w:themeColor="text1"/>
                  </w:rPr>
                  <m:t>RMSE</m:t>
                </m:r>
              </m:e>
              <m:sub>
                <m:r>
                  <m:rPr>
                    <m:sty m:val="p"/>
                  </m:rPr>
                  <w:rPr>
                    <w:rFonts w:ascii="Cambria Math" w:hAnsi="Cambria Math"/>
                    <w:color w:val="000000" w:themeColor="text1"/>
                  </w:rPr>
                  <m:t>null</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RMSE</m:t>
                </m:r>
              </m:e>
              <m:sub>
                <m:r>
                  <m:rPr>
                    <m:sty m:val="p"/>
                  </m:rPr>
                  <w:rPr>
                    <w:rFonts w:ascii="Cambria Math" w:hAnsi="Cambria Math"/>
                    <w:color w:val="000000" w:themeColor="text1"/>
                  </w:rPr>
                  <m:t>full</m:t>
                </m:r>
              </m:sub>
            </m:sSub>
          </m:den>
        </m:f>
      </m:oMath>
      <w:r w:rsidR="006D3DA6" w:rsidRPr="00CE7EB7">
        <w:rPr>
          <w:rFonts w:ascii="Aptos" w:hAnsi="Aptos"/>
          <w:color w:val="000000" w:themeColor="text1"/>
        </w:rPr>
        <w:t xml:space="preserve">   (S18)</w:t>
      </w:r>
    </w:p>
    <w:p w14:paraId="266C603A" w14:textId="77777777" w:rsidR="00B81424" w:rsidRPr="00CE7EB7" w:rsidRDefault="00E54E0B">
      <w:pPr>
        <w:spacing w:line="480" w:lineRule="auto"/>
        <w:rPr>
          <w:rFonts w:ascii="Aptos" w:hAnsi="Aptos"/>
          <w:color w:val="000000" w:themeColor="text1"/>
        </w:rPr>
      </w:pPr>
      <w:r w:rsidRPr="00CE7EB7">
        <w:rPr>
          <w:rFonts w:ascii="Aptos" w:hAnsi="Aptos"/>
        </w:rPr>
        <w:t xml:space="preserve">The retained-improvement statistic </w:t>
      </w: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CE7EB7">
        <w:rPr>
          <w:rFonts w:ascii="Aptos" w:hAnsi="Aptos"/>
        </w:rPr>
        <w:t xml:space="preserve"> compares a dimension-</w:t>
      </w:r>
      <m:oMath>
        <m:r>
          <w:rPr>
            <w:rFonts w:ascii="Cambria Math" w:hAnsi="Cambria Math"/>
          </w:rPr>
          <m:t>k</m:t>
        </m:r>
      </m:oMath>
      <w:r w:rsidRPr="00CE7EB7">
        <w:rPr>
          <w:rFonts w:ascii="Aptos" w:hAnsi="Aptos"/>
        </w:rPr>
        <w:t xml:space="preserve"> prediction with two fixed baselines. </w:t>
      </w:r>
      <m:oMath>
        <m:sSub>
          <m:sSubPr>
            <m:ctrlPr>
              <w:rPr>
                <w:rFonts w:ascii="Cambria Math" w:hAnsi="Cambria Math"/>
              </w:rPr>
            </m:ctrlPr>
          </m:sSubPr>
          <m:e>
            <m:r>
              <m:rPr>
                <m:sty m:val="p"/>
              </m:rPr>
              <w:rPr>
                <w:rFonts w:ascii="Cambria Math" w:hAnsi="Cambria Math"/>
              </w:rPr>
              <m:t>RMSE</m:t>
            </m:r>
          </m:e>
          <m:sub>
            <m:r>
              <w:rPr>
                <w:rFonts w:ascii="Cambria Math" w:hAnsi="Cambria Math"/>
              </w:rPr>
              <m:t>k</m:t>
            </m:r>
          </m:sub>
        </m:sSub>
      </m:oMath>
      <w:r w:rsidRPr="00CE7EB7">
        <w:rPr>
          <w:rFonts w:ascii="Aptos" w:hAnsi="Aptos"/>
        </w:rPr>
        <w:t xml:space="preserve"> is the passage-three root-mean-square log-abundance error after refitting with the rank-</w:t>
      </w:r>
      <m:oMath>
        <m:r>
          <w:rPr>
            <w:rFonts w:ascii="Cambria Math" w:hAnsi="Cambria Math"/>
          </w:rPr>
          <m:t>k</m:t>
        </m:r>
      </m:oMath>
      <w:r w:rsidRPr="00CE7EB7">
        <w:rPr>
          <w:rFonts w:ascii="Aptos" w:hAnsi="Aptos"/>
        </w:rPr>
        <w:t xml:space="preserve"> approximation; </w:t>
      </w:r>
      <m:oMath>
        <m:sSub>
          <m:sSubPr>
            <m:ctrlPr>
              <w:rPr>
                <w:rFonts w:ascii="Cambria Math" w:hAnsi="Cambria Math"/>
              </w:rPr>
            </m:ctrlPr>
          </m:sSubPr>
          <m:e>
            <m:r>
              <m:rPr>
                <m:sty m:val="p"/>
              </m:rPr>
              <w:rPr>
                <w:rFonts w:ascii="Cambria Math" w:hAnsi="Cambria Math"/>
              </w:rPr>
              <m:t>RMSE</m:t>
            </m:r>
          </m:e>
          <m:sub>
            <m:r>
              <m:rPr>
                <m:sty m:val="p"/>
              </m:rPr>
              <w:rPr>
                <w:rFonts w:ascii="Cambria Math" w:hAnsi="Cambria Math"/>
              </w:rPr>
              <m:t>full</m:t>
            </m:r>
          </m:sub>
        </m:sSub>
      </m:oMath>
      <w:r w:rsidRPr="00CE7EB7">
        <w:rPr>
          <w:rFonts w:ascii="Aptos" w:hAnsi="Aptos"/>
        </w:rPr>
        <w:t xml:space="preserve"> uses the original model-input consumption matrix; and </w:t>
      </w:r>
      <m:oMath>
        <m:sSub>
          <m:sSubPr>
            <m:ctrlPr>
              <w:rPr>
                <w:rFonts w:ascii="Cambria Math" w:hAnsi="Cambria Math"/>
              </w:rPr>
            </m:ctrlPr>
          </m:sSubPr>
          <m:e>
            <m:r>
              <m:rPr>
                <m:sty m:val="p"/>
              </m:rPr>
              <w:rPr>
                <w:rFonts w:ascii="Cambria Math" w:hAnsi="Cambria Math"/>
              </w:rPr>
              <m:t>RMSE</m:t>
            </m:r>
          </m:e>
          <m:sub>
            <m:r>
              <m:rPr>
                <m:sty m:val="p"/>
              </m:rPr>
              <w:rPr>
                <w:rFonts w:ascii="Cambria Math" w:hAnsi="Cambria Math"/>
              </w:rPr>
              <m:t>null</m:t>
            </m:r>
          </m:sub>
        </m:sSub>
      </m:oMath>
      <w:r w:rsidRPr="00CE7EB7">
        <w:rPr>
          <w:rFonts w:ascii="Aptos" w:hAnsi="Aptos"/>
        </w:rPr>
        <w:t xml:space="preserve"> is the monoculture null-model error. The denominator is the full model’s improvement over the null and is required to be nonzero. A value of one retains that full improvement, while values below one lose part of it.</w:t>
      </w:r>
    </w:p>
    <w:p w14:paraId="26B465D1" w14:textId="77777777" w:rsidR="003310A9" w:rsidRPr="00CE7EB7" w:rsidRDefault="00235995" w:rsidP="00CE7EB7">
      <w:pPr>
        <w:spacing w:line="480" w:lineRule="auto"/>
        <w:rPr>
          <w:rFonts w:ascii="Aptos" w:hAnsi="Aptos"/>
        </w:rPr>
      </w:pPr>
      <w:r w:rsidRPr="00CE7EB7">
        <w:rPr>
          <w:rFonts w:ascii="Aptos" w:hAnsi="Aptos"/>
        </w:rPr>
        <w:t xml:space="preserve">Non-negative matrix factorization (NMF) </w:t>
      </w:r>
      <w:r w:rsidRPr="00CE7EB7">
        <w:rPr>
          <w:rFonts w:ascii="Aptos" w:hAnsi="Aptos"/>
          <w:vertAlign w:val="superscript"/>
        </w:rPr>
        <w:t>15</w:t>
      </w:r>
      <w:r w:rsidRPr="00CE7EB7">
        <w:rPr>
          <w:rFonts w:ascii="Aptos" w:hAnsi="Aptos"/>
        </w:rPr>
        <w:t xml:space="preserve"> approximates a nonnegative consumption matrix </w:t>
      </w:r>
      <m:oMath>
        <m:r>
          <w:rPr>
            <w:rFonts w:ascii="Cambria Math" w:hAnsi="Cambria Math"/>
          </w:rPr>
          <m:t>C</m:t>
        </m:r>
      </m:oMath>
      <w:r w:rsidRPr="00CE7EB7">
        <w:rPr>
          <w:rFonts w:ascii="Aptos" w:hAnsi="Aptos"/>
        </w:rPr>
        <w:t xml:space="preserve"> by </w:t>
      </w:r>
      <m:oMath>
        <m:r>
          <w:rPr>
            <w:rFonts w:ascii="Cambria Math" w:hAnsi="Cambria Math"/>
          </w:rPr>
          <m:t>WH</m:t>
        </m:r>
      </m:oMath>
      <w:r w:rsidRPr="00CE7EB7">
        <w:rPr>
          <w:rFonts w:ascii="Aptos" w:hAnsi="Aptos"/>
        </w:rPr>
        <w:t xml:space="preserve"> with nonnegative factors </w:t>
      </w:r>
      <m:oMath>
        <m:r>
          <w:rPr>
            <w:rFonts w:ascii="Cambria Math" w:hAnsi="Cambria Math"/>
          </w:rPr>
          <m:t>W</m:t>
        </m:r>
      </m:oMath>
      <w:r w:rsidRPr="00CE7EB7">
        <w:rPr>
          <w:rFonts w:ascii="Aptos" w:hAnsi="Aptos"/>
        </w:rPr>
        <w:t xml:space="preserve"> and </w:t>
      </w:r>
      <m:oMath>
        <m:r>
          <w:rPr>
            <w:rFonts w:ascii="Cambria Math" w:hAnsi="Cambria Math"/>
          </w:rPr>
          <m:t>H</m:t>
        </m:r>
      </m:oMath>
      <w:r w:rsidRPr="00CE7EB7">
        <w:rPr>
          <w:rFonts w:ascii="Aptos" w:hAnsi="Aptos"/>
        </w:rPr>
        <w:t xml:space="preserve">. At each candidate inner dimension </w:t>
      </w:r>
      <m:oMath>
        <m:r>
          <w:rPr>
            <w:rFonts w:ascii="Cambria Math" w:hAnsi="Cambria Math"/>
          </w:rPr>
          <m:t>k</m:t>
        </m:r>
      </m:oMath>
      <w:r w:rsidRPr="00CE7EB7">
        <w:rPr>
          <w:rFonts w:ascii="Aptos" w:hAnsi="Aptos"/>
        </w:rPr>
        <w:t>, the ordinary hCom2* low-rank analysis minimized</w:t>
      </w:r>
    </w:p>
    <w:p w14:paraId="71B2C71C" w14:textId="77777777" w:rsidR="003310A9" w:rsidRPr="00CE7EB7" w:rsidRDefault="002B22C3" w:rsidP="00CE7EB7">
      <w:pPr>
        <w:spacing w:line="480" w:lineRule="auto"/>
        <w:jc w:val="center"/>
        <w:rPr>
          <w:rFonts w:ascii="Aptos" w:hAnsi="Aptos"/>
        </w:rPr>
      </w:pPr>
      <m:oMathPara>
        <m:oMath>
          <m:sSub>
            <m:sSubPr>
              <m:ctrlPr>
                <w:rPr>
                  <w:rFonts w:ascii="Cambria Math" w:hAnsi="Cambria Math"/>
                </w:rPr>
              </m:ctrlPr>
            </m:sSubPr>
            <m:e>
              <m:r>
                <w:rPr>
                  <w:rFonts w:ascii="Cambria Math" w:hAnsi="Cambria Math"/>
                </w:rPr>
                <m:t>min</m:t>
              </m:r>
            </m:e>
            <m:sub>
              <m:r>
                <w:rPr>
                  <w:rFonts w:ascii="Cambria Math" w:hAnsi="Cambria Math"/>
                </w:rPr>
                <m:t>W,H≥0</m:t>
              </m:r>
            </m:sub>
          </m:sSub>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‖C-WH‖</m:t>
                  </m:r>
                </m:e>
                <m:sub>
                  <m:r>
                    <w:rPr>
                      <w:rFonts w:ascii="Cambria Math" w:hAnsi="Cambria Math"/>
                    </w:rPr>
                    <m:t>F</m:t>
                  </m:r>
                </m:sub>
              </m:sSub>
            </m:e>
            <m:sup>
              <m:r>
                <w:rPr>
                  <w:rFonts w:ascii="Cambria Math" w:hAnsi="Cambria Math"/>
                </w:rPr>
                <m:t>2</m:t>
              </m:r>
            </m:sup>
          </m:sSup>
        </m:oMath>
      </m:oMathPara>
    </w:p>
    <w:p w14:paraId="728D623F" w14:textId="77777777" w:rsidR="00B81424" w:rsidRPr="00CE7EB7" w:rsidRDefault="00E54E0B" w:rsidP="00CE7EB7">
      <w:pPr>
        <w:spacing w:line="480" w:lineRule="auto"/>
        <w:rPr>
          <w:rFonts w:ascii="Aptos" w:hAnsi="Aptos"/>
          <w:color w:val="000000" w:themeColor="text1"/>
        </w:rPr>
      </w:pPr>
      <w:r w:rsidRPr="00CE7EB7">
        <w:rPr>
          <w:rFonts w:ascii="Aptos" w:hAnsi="Aptos"/>
        </w:rPr>
        <w:t xml:space="preserve">For the ordinary NMF objective, </w:t>
      </w:r>
      <m:oMath>
        <m:r>
          <w:rPr>
            <w:rFonts w:ascii="Cambria Math" w:hAnsi="Cambria Math"/>
          </w:rPr>
          <m:t>C</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P</m:t>
            </m:r>
          </m:sup>
        </m:sSubSup>
      </m:oMath>
      <w:r w:rsidRPr="00CE7EB7">
        <w:rPr>
          <w:rFonts w:ascii="Aptos" w:hAnsi="Aptos"/>
        </w:rPr>
        <w:t xml:space="preserve"> is the nonnegative uptake matrix, </w:t>
      </w:r>
      <m:oMath>
        <m:r>
          <w:rPr>
            <w:rFonts w:ascii="Cambria Math" w:hAnsi="Cambria Math"/>
          </w:rPr>
          <m:t>W</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k</m:t>
            </m:r>
          </m:sup>
        </m:sSubSup>
      </m:oMath>
      <w:r w:rsidRPr="00CE7EB7">
        <w:rPr>
          <w:rFonts w:ascii="Aptos" w:hAnsi="Aptos"/>
        </w:rPr>
        <w:t xml:space="preserve"> and </w:t>
      </w:r>
      <m:oMath>
        <m:r>
          <w:rPr>
            <w:rFonts w:ascii="Cambria Math" w:hAnsi="Cambria Math"/>
          </w:rPr>
          <m:t>H</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P</m:t>
            </m:r>
          </m:sup>
        </m:sSubSup>
      </m:oMath>
      <w:r w:rsidRPr="00CE7EB7">
        <w:rPr>
          <w:rFonts w:ascii="Aptos" w:hAnsi="Aptos"/>
        </w:rPr>
        <w:t xml:space="preserve"> are fitting factors, and </w:t>
      </w:r>
      <m:oMath>
        <m:r>
          <w:rPr>
            <w:rFonts w:ascii="Cambria Math" w:hAnsi="Cambria Math"/>
          </w:rPr>
          <m:t>k</m:t>
        </m:r>
      </m:oMath>
      <w:r w:rsidRPr="00CE7EB7">
        <w:rPr>
          <w:rFonts w:ascii="Aptos" w:hAnsi="Aptos"/>
        </w:rPr>
        <w:t xml:space="preserve"> is their inner dimension. The squared Frobenius norm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WH</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α</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iα</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WH</m:t>
                            </m:r>
                          </m:e>
                        </m:d>
                      </m:e>
                      <m:sub>
                        <m:r>
                          <w:rPr>
                            <w:rFonts w:ascii="Cambria Math" w:hAnsi="Cambria Math"/>
                          </w:rPr>
                          <m:t>iα</m:t>
                        </m:r>
                      </m:sub>
                    </m:sSub>
                  </m:e>
                </m:d>
              </m:e>
              <m:sup>
                <m:r>
                  <w:rPr>
                    <w:rFonts w:ascii="Cambria Math" w:hAnsi="Cambria Math"/>
                  </w:rPr>
                  <m:t>2</m:t>
                </m:r>
              </m:sup>
            </m:sSup>
          </m:e>
        </m:nary>
      </m:oMath>
      <w:r w:rsidRPr="00CE7EB7">
        <w:rPr>
          <w:rFonts w:ascii="Aptos" w:hAnsi="Aptos"/>
        </w:rPr>
        <w:t xml:space="preserve"> is the sum of squared entrywise reconstruction errors. This </w:t>
      </w:r>
      <m:oMath>
        <m:r>
          <w:rPr>
            <w:rFonts w:ascii="Cambria Math" w:hAnsi="Cambria Math"/>
          </w:rPr>
          <m:t>W</m:t>
        </m:r>
      </m:oMath>
      <w:r w:rsidRPr="00CE7EB7">
        <w:rPr>
          <w:rFonts w:ascii="Aptos" w:hAnsi="Aptos"/>
        </w:rPr>
        <w:t xml:space="preserve"> is an NMF factor; it must not be confused with the diagonal resource-weight matrix </w:t>
      </w:r>
      <m:oMath>
        <m:r>
          <w:rPr>
            <w:rFonts w:ascii="Cambria Math" w:hAnsi="Cambria Math"/>
          </w:rPr>
          <m:t>W</m:t>
        </m:r>
      </m:oMath>
      <w:r w:rsidRPr="00CE7EB7">
        <w:rPr>
          <w:rFonts w:ascii="Aptos" w:hAnsi="Aptos"/>
        </w:rPr>
        <w:t xml:space="preserve"> in Eqs. S7 and S11.</w:t>
      </w:r>
    </w:p>
    <w:p w14:paraId="34FF0C70" w14:textId="0BD4E2BD" w:rsidR="003310A9" w:rsidRPr="00CE7EB7" w:rsidRDefault="00CE7EB7" w:rsidP="00CE7EB7">
      <w:pPr>
        <w:spacing w:line="480" w:lineRule="auto"/>
        <w:rPr>
          <w:rFonts w:ascii="Aptos" w:hAnsi="Aptos"/>
        </w:rPr>
      </w:pPr>
      <w:r w:rsidRPr="00CE7EB7">
        <w:rPr>
          <w:rFonts w:ascii="Aptos" w:hAnsi="Aptos"/>
        </w:rPr>
        <w:t>The analysis used c</w:t>
      </w:r>
      <w:r w:rsidR="00235995" w:rsidRPr="00CE7EB7">
        <w:rPr>
          <w:rFonts w:ascii="Aptos" w:hAnsi="Aptos"/>
        </w:rPr>
        <w:t>oordinate-descent NMF</w:t>
      </w:r>
      <w:r w:rsidRPr="00CE7EB7">
        <w:rPr>
          <w:rFonts w:ascii="Aptos" w:hAnsi="Aptos"/>
        </w:rPr>
        <w:t xml:space="preserve"> with</w:t>
      </w:r>
      <w:r w:rsidR="00235995" w:rsidRPr="00CE7EB7">
        <w:rPr>
          <w:rFonts w:ascii="Aptos" w:hAnsi="Aptos"/>
        </w:rPr>
        <w:t xml:space="preserve"> twenty deterministic initializations, tolerance </w:t>
      </w:r>
      <m:oMath>
        <m:r>
          <w:rPr>
            <w:rFonts w:ascii="Cambria Math" w:hAnsi="Cambria Math"/>
          </w:rPr>
          <m:t>10⁻⁴</m:t>
        </m:r>
      </m:oMath>
      <w:r w:rsidR="00235995" w:rsidRPr="00CE7EB7">
        <w:rPr>
          <w:rFonts w:ascii="Aptos" w:hAnsi="Aptos"/>
        </w:rPr>
        <w:t xml:space="preserve">, and at most </w:t>
      </w:r>
      <m:oMath>
        <m:r>
          <w:rPr>
            <w:rFonts w:ascii="Cambria Math" w:hAnsi="Cambria Math"/>
          </w:rPr>
          <m:t>5000</m:t>
        </m:r>
      </m:oMath>
      <w:r w:rsidR="00235995" w:rsidRPr="00CE7EB7">
        <w:rPr>
          <w:rFonts w:ascii="Aptos" w:hAnsi="Aptos"/>
        </w:rPr>
        <w:t xml:space="preserve"> iterations. The primary seed at each </w:t>
      </w:r>
      <m:oMath>
        <m:r>
          <w:rPr>
            <w:rFonts w:ascii="Cambria Math" w:hAnsi="Cambria Math"/>
          </w:rPr>
          <m:t>k</m:t>
        </m:r>
      </m:oMath>
      <w:r w:rsidR="00235995" w:rsidRPr="00CE7EB7">
        <w:rPr>
          <w:rFonts w:ascii="Aptos" w:hAnsi="Aptos"/>
        </w:rPr>
        <w:t xml:space="preserve"> was selected by reconstruction loss only. NMF imposes nonnegativity </w:t>
      </w:r>
      <w:r w:rsidR="00235995" w:rsidRPr="00CE7EB7">
        <w:rPr>
          <w:rFonts w:ascii="Aptos" w:hAnsi="Aptos"/>
        </w:rPr>
        <w:lastRenderedPageBreak/>
        <w:t>but not exact preservation of the observed zero/nonzero support, so this ordinary approximation can both remove measured links and create small positive values at originally zero entries. Lee and Seung introduced NMF as a parts-based nonnegative representation</w:t>
      </w:r>
      <w:r w:rsidRPr="00CE7EB7">
        <w:rPr>
          <w:rFonts w:ascii="Aptos" w:hAnsi="Aptos"/>
        </w:rPr>
        <w:t xml:space="preserve">; </w:t>
      </w:r>
      <w:r w:rsidR="00235995" w:rsidRPr="00CE7EB7">
        <w:rPr>
          <w:rFonts w:ascii="Aptos" w:hAnsi="Aptos"/>
        </w:rPr>
        <w:t>here it is used strictly as a low-rank matrix approximation, not as a mechanistic model.</w:t>
      </w:r>
    </w:p>
    <w:p w14:paraId="378D00C6" w14:textId="77777777" w:rsidR="0070331D" w:rsidRPr="00CE7EB7" w:rsidRDefault="006D3DA6" w:rsidP="00CE7EB7">
      <w:pPr>
        <w:spacing w:line="480" w:lineRule="auto"/>
        <w:rPr>
          <w:rFonts w:ascii="Aptos" w:hAnsi="Aptos"/>
          <w:color w:val="000000" w:themeColor="text1"/>
        </w:rPr>
      </w:pPr>
      <w:r w:rsidRPr="00CE7EB7">
        <w:rPr>
          <w:rFonts w:ascii="Aptos" w:hAnsi="Aptos"/>
          <w:color w:val="000000" w:themeColor="text1"/>
        </w:rPr>
        <w:t>The ordinary NMF experiment selected factorization seeds by matrix reconstruction error only and refit resource concentrations independently for every reconstructed matrix. The final missing ranks between fifty and sixty locate the first tested passing ordinary rank at fifty-two.</w:t>
      </w:r>
    </w:p>
    <w:p w14:paraId="37638ED6"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10</w:t>
      </w:r>
      <w:r w:rsidRPr="00CE7EB7">
        <w:rPr>
          <w:rFonts w:ascii="Aptos" w:hAnsi="Aptos"/>
          <w:color w:val="000000" w:themeColor="text1"/>
        </w:rPr>
        <w:t xml:space="preserve"> Selected ordinary-NMF results around the functional threshold.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331D" w:rsidRPr="00CE7EB7" w14:paraId="389CE953" w14:textId="77777777">
        <w:trPr>
          <w:tblHeader/>
          <w:jc w:val="center"/>
        </w:trPr>
        <w:tc>
          <w:tcPr>
            <w:tcW w:w="1987" w:type="dxa"/>
            <w:shd w:val="clear" w:color="auto" w:fill="E7E6E6"/>
          </w:tcPr>
          <w:p w14:paraId="016B7898"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Rank</w:t>
            </w:r>
          </w:p>
        </w:tc>
        <w:tc>
          <w:tcPr>
            <w:tcW w:w="1987" w:type="dxa"/>
            <w:shd w:val="clear" w:color="auto" w:fill="E7E6E6"/>
          </w:tcPr>
          <w:p w14:paraId="12FE1253"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P3 Pearson</w:t>
            </w:r>
          </w:p>
        </w:tc>
        <w:tc>
          <w:tcPr>
            <w:tcW w:w="1987" w:type="dxa"/>
            <w:shd w:val="clear" w:color="auto" w:fill="E7E6E6"/>
          </w:tcPr>
          <w:p w14:paraId="3811A8FC"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P3 RMSE</w:t>
            </w:r>
          </w:p>
        </w:tc>
        <w:tc>
          <w:tcPr>
            <w:tcW w:w="1987" w:type="dxa"/>
            <w:shd w:val="clear" w:color="auto" w:fill="E7E6E6"/>
          </w:tcPr>
          <w:p w14:paraId="188C9EAF"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Retained improvement</w:t>
            </w:r>
          </w:p>
        </w:tc>
        <w:tc>
          <w:tcPr>
            <w:tcW w:w="1987" w:type="dxa"/>
            <w:shd w:val="clear" w:color="auto" w:fill="E7E6E6"/>
          </w:tcPr>
          <w:p w14:paraId="65B0543F"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Seed pass fraction</w:t>
            </w:r>
          </w:p>
        </w:tc>
      </w:tr>
      <w:tr w:rsidR="0070331D" w:rsidRPr="00CE7EB7" w14:paraId="6782CF3D" w14:textId="77777777">
        <w:trPr>
          <w:jc w:val="center"/>
        </w:trPr>
        <w:tc>
          <w:tcPr>
            <w:tcW w:w="1987" w:type="dxa"/>
          </w:tcPr>
          <w:p w14:paraId="76AFF95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40</m:t>
                </m:r>
              </m:oMath>
            </m:oMathPara>
          </w:p>
        </w:tc>
        <w:tc>
          <w:tcPr>
            <w:tcW w:w="1987" w:type="dxa"/>
          </w:tcPr>
          <w:p w14:paraId="57FD061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0.658</m:t>
                </m:r>
              </m:oMath>
            </m:oMathPara>
          </w:p>
        </w:tc>
        <w:tc>
          <w:tcPr>
            <w:tcW w:w="1987" w:type="dxa"/>
          </w:tcPr>
          <w:p w14:paraId="20DFCD3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2.022</m:t>
                </m:r>
              </m:oMath>
            </m:oMathPara>
          </w:p>
        </w:tc>
        <w:tc>
          <w:tcPr>
            <w:tcW w:w="1987" w:type="dxa"/>
          </w:tcPr>
          <w:p w14:paraId="44D0928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0.811</m:t>
                </m:r>
              </m:oMath>
            </m:oMathPara>
          </w:p>
        </w:tc>
        <w:tc>
          <w:tcPr>
            <w:tcW w:w="1987" w:type="dxa"/>
          </w:tcPr>
          <w:p w14:paraId="1092B6F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m:t>
                </m:r>
              </m:oMath>
            </m:oMathPara>
          </w:p>
        </w:tc>
      </w:tr>
      <w:tr w:rsidR="0070331D" w:rsidRPr="00CE7EB7" w14:paraId="26C1ADEC" w14:textId="77777777">
        <w:trPr>
          <w:jc w:val="center"/>
        </w:trPr>
        <w:tc>
          <w:tcPr>
            <w:tcW w:w="1987" w:type="dxa"/>
          </w:tcPr>
          <w:p w14:paraId="2055545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50</m:t>
                </m:r>
              </m:oMath>
            </m:oMathPara>
          </w:p>
        </w:tc>
        <w:tc>
          <w:tcPr>
            <w:tcW w:w="1987" w:type="dxa"/>
          </w:tcPr>
          <w:p w14:paraId="049261A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0.678</m:t>
                </m:r>
              </m:oMath>
            </m:oMathPara>
          </w:p>
        </w:tc>
        <w:tc>
          <w:tcPr>
            <w:tcW w:w="1987" w:type="dxa"/>
          </w:tcPr>
          <w:p w14:paraId="7EB8424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2.019</m:t>
                </m:r>
              </m:oMath>
            </m:oMathPara>
          </w:p>
        </w:tc>
        <w:tc>
          <w:tcPr>
            <w:tcW w:w="1987" w:type="dxa"/>
          </w:tcPr>
          <w:p w14:paraId="7DD3104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0.813</m:t>
                </m:r>
              </m:oMath>
            </m:oMathPara>
          </w:p>
        </w:tc>
        <w:tc>
          <w:tcPr>
            <w:tcW w:w="1987" w:type="dxa"/>
          </w:tcPr>
          <w:p w14:paraId="252565D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0.25</m:t>
                </m:r>
              </m:oMath>
            </m:oMathPara>
          </w:p>
        </w:tc>
      </w:tr>
      <w:tr w:rsidR="0070331D" w:rsidRPr="00CE7EB7" w14:paraId="7442E675" w14:textId="77777777">
        <w:trPr>
          <w:jc w:val="center"/>
        </w:trPr>
        <w:tc>
          <w:tcPr>
            <w:tcW w:w="1987" w:type="dxa"/>
          </w:tcPr>
          <w:p w14:paraId="6F39FA0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51</m:t>
                </m:r>
              </m:oMath>
            </m:oMathPara>
          </w:p>
        </w:tc>
        <w:tc>
          <w:tcPr>
            <w:tcW w:w="1987" w:type="dxa"/>
          </w:tcPr>
          <w:p w14:paraId="1E39700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0.720</m:t>
                </m:r>
              </m:oMath>
            </m:oMathPara>
          </w:p>
        </w:tc>
        <w:tc>
          <w:tcPr>
            <w:tcW w:w="1987" w:type="dxa"/>
          </w:tcPr>
          <w:p w14:paraId="1C8A964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1.815</m:t>
                </m:r>
              </m:oMath>
            </m:oMathPara>
          </w:p>
        </w:tc>
        <w:tc>
          <w:tcPr>
            <w:tcW w:w="1987" w:type="dxa"/>
          </w:tcPr>
          <w:p w14:paraId="0BB3F95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0.931</m:t>
                </m:r>
              </m:oMath>
            </m:oMathPara>
          </w:p>
        </w:tc>
        <w:tc>
          <w:tcPr>
            <w:tcW w:w="1987" w:type="dxa"/>
          </w:tcPr>
          <w:p w14:paraId="12702B8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0.40</m:t>
                </m:r>
              </m:oMath>
            </m:oMathPara>
          </w:p>
        </w:tc>
      </w:tr>
      <w:tr w:rsidR="0070331D" w:rsidRPr="00CE7EB7" w14:paraId="533FB8F1" w14:textId="77777777">
        <w:trPr>
          <w:jc w:val="center"/>
        </w:trPr>
        <w:tc>
          <w:tcPr>
            <w:tcW w:w="1987" w:type="dxa"/>
          </w:tcPr>
          <w:p w14:paraId="458FFF7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52</m:t>
                </m:r>
              </m:oMath>
            </m:oMathPara>
          </w:p>
        </w:tc>
        <w:tc>
          <w:tcPr>
            <w:tcW w:w="1987" w:type="dxa"/>
          </w:tcPr>
          <w:p w14:paraId="4048D798"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0.759</m:t>
                </m:r>
              </m:oMath>
            </m:oMathPara>
          </w:p>
        </w:tc>
        <w:tc>
          <w:tcPr>
            <w:tcW w:w="1987" w:type="dxa"/>
          </w:tcPr>
          <w:p w14:paraId="4583A7C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1.708</m:t>
                </m:r>
              </m:oMath>
            </m:oMathPara>
          </w:p>
        </w:tc>
        <w:tc>
          <w:tcPr>
            <w:tcW w:w="1987" w:type="dxa"/>
          </w:tcPr>
          <w:p w14:paraId="66C7602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0.994</m:t>
                </m:r>
              </m:oMath>
            </m:oMathPara>
          </w:p>
        </w:tc>
        <w:tc>
          <w:tcPr>
            <w:tcW w:w="1987" w:type="dxa"/>
          </w:tcPr>
          <w:p w14:paraId="09C12F4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0.50</m:t>
                </m:r>
              </m:oMath>
            </m:oMathPara>
          </w:p>
        </w:tc>
      </w:tr>
      <w:tr w:rsidR="0070331D" w:rsidRPr="00CE7EB7" w14:paraId="58519B2A" w14:textId="77777777">
        <w:trPr>
          <w:jc w:val="center"/>
        </w:trPr>
        <w:tc>
          <w:tcPr>
            <w:tcW w:w="1987" w:type="dxa"/>
          </w:tcPr>
          <w:p w14:paraId="4EA6E2F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55</m:t>
                </m:r>
              </m:oMath>
            </m:oMathPara>
          </w:p>
        </w:tc>
        <w:tc>
          <w:tcPr>
            <w:tcW w:w="1987" w:type="dxa"/>
          </w:tcPr>
          <w:p w14:paraId="735D3F3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0.778</m:t>
                </m:r>
              </m:oMath>
            </m:oMathPara>
          </w:p>
        </w:tc>
        <w:tc>
          <w:tcPr>
            <w:tcW w:w="1987" w:type="dxa"/>
          </w:tcPr>
          <w:p w14:paraId="5B502BD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1.663</m:t>
                </m:r>
              </m:oMath>
            </m:oMathPara>
          </w:p>
        </w:tc>
        <w:tc>
          <w:tcPr>
            <w:tcW w:w="1987" w:type="dxa"/>
          </w:tcPr>
          <w:p w14:paraId="2DAF2D7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1.020</m:t>
                </m:r>
              </m:oMath>
            </m:oMathPara>
          </w:p>
        </w:tc>
        <w:tc>
          <w:tcPr>
            <w:tcW w:w="1987" w:type="dxa"/>
          </w:tcPr>
          <w:p w14:paraId="34706EA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0.50</m:t>
                </m:r>
              </m:oMath>
            </m:oMathPara>
          </w:p>
        </w:tc>
      </w:tr>
      <w:tr w:rsidR="0070331D" w:rsidRPr="00CE7EB7" w14:paraId="0B72209D" w14:textId="77777777">
        <w:trPr>
          <w:jc w:val="center"/>
        </w:trPr>
        <w:tc>
          <w:tcPr>
            <w:tcW w:w="1987" w:type="dxa"/>
          </w:tcPr>
          <w:p w14:paraId="4DBA715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57</m:t>
                </m:r>
              </m:oMath>
            </m:oMathPara>
          </w:p>
        </w:tc>
        <w:tc>
          <w:tcPr>
            <w:tcW w:w="1987" w:type="dxa"/>
          </w:tcPr>
          <w:p w14:paraId="049A598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0.777</m:t>
                </m:r>
              </m:oMath>
            </m:oMathPara>
          </w:p>
        </w:tc>
        <w:tc>
          <w:tcPr>
            <w:tcW w:w="1987" w:type="dxa"/>
          </w:tcPr>
          <w:p w14:paraId="3069DB8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1.624</m:t>
                </m:r>
              </m:oMath>
            </m:oMathPara>
          </w:p>
        </w:tc>
        <w:tc>
          <w:tcPr>
            <w:tcW w:w="1987" w:type="dxa"/>
          </w:tcPr>
          <w:p w14:paraId="6818709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1.043</m:t>
                </m:r>
              </m:oMath>
            </m:oMathPara>
          </w:p>
        </w:tc>
        <w:tc>
          <w:tcPr>
            <w:tcW w:w="1987" w:type="dxa"/>
          </w:tcPr>
          <w:p w14:paraId="0CA4057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0.75</m:t>
                </m:r>
              </m:oMath>
            </m:oMathPara>
          </w:p>
        </w:tc>
      </w:tr>
      <w:tr w:rsidR="0070331D" w:rsidRPr="00CE7EB7" w14:paraId="2E25F0B1" w14:textId="77777777">
        <w:trPr>
          <w:jc w:val="center"/>
        </w:trPr>
        <w:tc>
          <w:tcPr>
            <w:tcW w:w="1987" w:type="dxa"/>
          </w:tcPr>
          <w:p w14:paraId="3459E8F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59</m:t>
                </m:r>
              </m:oMath>
            </m:oMathPara>
          </w:p>
        </w:tc>
        <w:tc>
          <w:tcPr>
            <w:tcW w:w="1987" w:type="dxa"/>
          </w:tcPr>
          <w:p w14:paraId="784B6C4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0.774</m:t>
                </m:r>
              </m:oMath>
            </m:oMathPara>
          </w:p>
        </w:tc>
        <w:tc>
          <w:tcPr>
            <w:tcW w:w="1987" w:type="dxa"/>
          </w:tcPr>
          <w:p w14:paraId="0086A9A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1.652</m:t>
                </m:r>
              </m:oMath>
            </m:oMathPara>
          </w:p>
        </w:tc>
        <w:tc>
          <w:tcPr>
            <w:tcW w:w="1987" w:type="dxa"/>
          </w:tcPr>
          <w:p w14:paraId="49264F4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1.026</m:t>
                </m:r>
              </m:oMath>
            </m:oMathPara>
          </w:p>
        </w:tc>
        <w:tc>
          <w:tcPr>
            <w:tcW w:w="1987" w:type="dxa"/>
          </w:tcPr>
          <w:p w14:paraId="5DBCC6D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0.95</m:t>
                </m:r>
              </m:oMath>
            </m:oMathPara>
          </w:p>
        </w:tc>
      </w:tr>
      <w:tr w:rsidR="0070331D" w:rsidRPr="00CE7EB7" w14:paraId="70C8454C" w14:textId="77777777">
        <w:trPr>
          <w:jc w:val="center"/>
        </w:trPr>
        <w:tc>
          <w:tcPr>
            <w:tcW w:w="1987" w:type="dxa"/>
          </w:tcPr>
          <w:p w14:paraId="008F791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60</m:t>
                </m:r>
              </m:oMath>
            </m:oMathPara>
          </w:p>
        </w:tc>
        <w:tc>
          <w:tcPr>
            <w:tcW w:w="1987" w:type="dxa"/>
          </w:tcPr>
          <w:p w14:paraId="1B242E9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0.781</m:t>
                </m:r>
              </m:oMath>
            </m:oMathPara>
          </w:p>
        </w:tc>
        <w:tc>
          <w:tcPr>
            <w:tcW w:w="1987" w:type="dxa"/>
          </w:tcPr>
          <w:p w14:paraId="561BE6D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1.624</m:t>
                </m:r>
              </m:oMath>
            </m:oMathPara>
          </w:p>
        </w:tc>
        <w:tc>
          <w:tcPr>
            <w:tcW w:w="1987" w:type="dxa"/>
          </w:tcPr>
          <w:p w14:paraId="0772B95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1.042</m:t>
                </m:r>
              </m:oMath>
            </m:oMathPara>
          </w:p>
        </w:tc>
        <w:tc>
          <w:tcPr>
            <w:tcW w:w="1987" w:type="dxa"/>
          </w:tcPr>
          <w:p w14:paraId="573D969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1.00</m:t>
                </m:r>
              </m:oMath>
            </m:oMathPara>
          </w:p>
        </w:tc>
      </w:tr>
    </w:tbl>
    <w:p w14:paraId="4E177842" w14:textId="77777777" w:rsidR="0075453E" w:rsidRPr="00CE7EB7" w:rsidRDefault="0075453E">
      <w:pPr>
        <w:spacing w:line="480" w:lineRule="auto"/>
        <w:rPr>
          <w:rFonts w:ascii="Aptos" w:hAnsi="Aptos"/>
        </w:rPr>
      </w:pPr>
    </w:p>
    <w:p w14:paraId="756D5B5B" w14:textId="77777777" w:rsidR="003310A9" w:rsidRPr="00CE7EB7" w:rsidRDefault="00235995">
      <w:pPr>
        <w:spacing w:line="480" w:lineRule="auto"/>
        <w:rPr>
          <w:rFonts w:ascii="Aptos" w:hAnsi="Aptos"/>
        </w:rPr>
      </w:pPr>
      <w:r w:rsidRPr="00CE7EB7">
        <w:rPr>
          <w:rFonts w:ascii="Aptos" w:hAnsi="Aptos"/>
        </w:rPr>
        <w:t>The functional threshold depends on how strictly the twenty deterministic factorization seeds must agree, so it is reported under three criteria rather than as a single number (Table 1 in the main text). Under the primary rule the reported dimension is the first rank at which the reconstruction-selected seed passes. The two stricter criteria are the lowest tabulated rank at which a majority of seeds pass and the lowest rank at which all seeds pass. The gap between the two approximation families is large under all three: six against fifty-two, six against fifty-seven, and twelve against sixty. The ordering of the two families is therefore not an artifact of seed selection, although the specific value fifty-two is.</w:t>
      </w:r>
    </w:p>
    <w:p w14:paraId="7F56BB06" w14:textId="77777777" w:rsidR="0070331D" w:rsidRPr="00CE7EB7" w:rsidRDefault="006D3DA6">
      <w:pPr>
        <w:spacing w:line="480" w:lineRule="auto"/>
        <w:rPr>
          <w:rFonts w:ascii="Aptos" w:hAnsi="Aptos"/>
          <w:color w:val="000000" w:themeColor="text1"/>
        </w:rPr>
      </w:pPr>
      <w:r w:rsidRPr="00CE7EB7">
        <w:rPr>
          <w:rFonts w:ascii="Aptos" w:hAnsi="Aptos"/>
          <w:noProof/>
          <w:color w:val="000000" w:themeColor="text1"/>
        </w:rPr>
        <w:lastRenderedPageBreak/>
        <w:drawing>
          <wp:inline distT="0" distB="0" distL="0" distR="0" wp14:anchorId="2459556E" wp14:editId="122F312F">
            <wp:extent cx="5303520" cy="3275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A_S2_seed_sufficiency.png"/>
                    <pic:cNvPicPr/>
                  </pic:nvPicPr>
                  <pic:blipFill>
                    <a:blip r:embed="rId9"/>
                    <a:stretch>
                      <a:fillRect/>
                    </a:stretch>
                  </pic:blipFill>
                  <pic:spPr>
                    <a:xfrm>
                      <a:off x="0" y="0"/>
                      <a:ext cx="5303520" cy="3275704"/>
                    </a:xfrm>
                    <a:prstGeom prst="rect">
                      <a:avLst/>
                    </a:prstGeom>
                  </pic:spPr>
                </pic:pic>
              </a:graphicData>
            </a:graphic>
          </wp:inline>
        </w:drawing>
      </w:r>
    </w:p>
    <w:p w14:paraId="3D51D6E2" w14:textId="77777777" w:rsidR="0070331D" w:rsidRPr="00CE7EB7" w:rsidRDefault="006D3DA6">
      <w:pPr>
        <w:spacing w:line="480" w:lineRule="auto"/>
        <w:rPr>
          <w:rFonts w:ascii="Aptos" w:hAnsi="Aptos"/>
          <w:color w:val="000000" w:themeColor="text1"/>
        </w:rPr>
      </w:pPr>
      <w:r w:rsidRPr="00CE7EB7">
        <w:rPr>
          <w:rFonts w:ascii="Aptos" w:hAnsi="Aptos"/>
          <w:b/>
          <w:bCs/>
        </w:rPr>
        <w:t>Supplementary Fig. 2</w:t>
      </w:r>
      <w:r w:rsidRPr="00CE7EB7">
        <w:rPr>
          <w:rFonts w:ascii="Aptos" w:hAnsi="Aptos"/>
          <w:color w:val="000000" w:themeColor="text1"/>
        </w:rPr>
        <w:t xml:space="preserve"> Fraction of ordinary-NMF seeds meeting the functional-sufficiency rule at high ranks.</w:t>
      </w:r>
    </w:p>
    <w:p w14:paraId="07AD5FC4" w14:textId="77777777" w:rsidR="003310A9" w:rsidRPr="00CE7EB7" w:rsidRDefault="00235995">
      <w:pPr>
        <w:pStyle w:val="Heading2"/>
        <w:spacing w:before="0"/>
        <w:rPr>
          <w:rFonts w:ascii="Aptos" w:hAnsi="Aptos"/>
        </w:rPr>
      </w:pPr>
      <w:r w:rsidRPr="00CE7EB7">
        <w:rPr>
          <w:rFonts w:ascii="Aptos" w:hAnsi="Aptos"/>
          <w:sz w:val="21"/>
        </w:rPr>
        <w:t>S9.1 Support-preserving latent strengths</w:t>
      </w:r>
    </w:p>
    <w:p w14:paraId="213F9681" w14:textId="77777777" w:rsidR="0070331D" w:rsidRPr="00CE7EB7" w:rsidRDefault="002B22C3">
      <w:pPr>
        <w:spacing w:line="480" w:lineRule="auto"/>
        <w:rPr>
          <w:rFonts w:ascii="Aptos" w:hAnsi="Aptos"/>
          <w:color w:val="000000" w:themeColor="text1"/>
        </w:rPr>
      </w:pP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ij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ij</m:t>
            </m:r>
          </m:sub>
        </m:sSub>
        <m:r>
          <w:rPr>
            <w:rFonts w:ascii="Cambria Math" w:hAnsi="Cambria Math"/>
            <w:color w:val="000000" w:themeColor="text1"/>
          </w:rPr>
          <m:t> </m:t>
        </m:r>
        <m:r>
          <m:rPr>
            <m:sty m:val="p"/>
          </m:rPr>
          <w:rPr>
            <w:rFonts w:ascii="Cambria Math" w:hAnsi="Cambria Math"/>
            <w:color w:val="000000" w:themeColor="text1"/>
          </w:rPr>
          <m:t>sigmoid</m:t>
        </m:r>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u</m:t>
                </m:r>
              </m:e>
              <m:sub>
                <m:r>
                  <w:rPr>
                    <w:rFonts w:ascii="Cambria Math" w:hAnsi="Cambria Math"/>
                    <w:color w:val="000000" w:themeColor="text1"/>
                  </w:rPr>
                  <m:t>i</m:t>
                </m:r>
              </m:sub>
              <m:sup>
                <m:r>
                  <m:rPr>
                    <m:sty m:val="p"/>
                  </m:rPr>
                  <w:rPr>
                    <w:rFonts w:ascii="Cambria Math" w:hAnsi="Cambria Math"/>
                    <w:color w:val="000000" w:themeColor="text1"/>
                  </w:rPr>
                  <m:t>⊤</m:t>
                </m:r>
              </m:sup>
            </m:sSubSup>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j</m:t>
                </m:r>
              </m:sub>
            </m:sSub>
          </m:e>
        </m:d>
      </m:oMath>
      <w:r w:rsidR="006D3DA6" w:rsidRPr="00CE7EB7">
        <w:rPr>
          <w:rFonts w:ascii="Aptos" w:hAnsi="Aptos"/>
          <w:color w:val="000000" w:themeColor="text1"/>
        </w:rPr>
        <w:t xml:space="preserve">   (S19)</w:t>
      </w:r>
    </w:p>
    <w:p w14:paraId="1F7DA476" w14:textId="77777777" w:rsidR="00B81424" w:rsidRPr="00CE7EB7" w:rsidRDefault="00E54E0B">
      <w:pPr>
        <w:spacing w:line="480" w:lineRule="auto"/>
        <w:rPr>
          <w:rFonts w:ascii="Aptos" w:hAnsi="Aptos"/>
          <w:color w:val="000000" w:themeColor="text1"/>
        </w:rPr>
      </w:pPr>
      <w:r w:rsidRPr="00CE7EB7">
        <w:rPr>
          <w:rFonts w:ascii="Aptos" w:hAnsi="Aptos"/>
        </w:rPr>
        <w:t xml:space="preserve">The matrix entry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ij</m:t>
            </m:r>
          </m:sub>
        </m:sSub>
      </m:oMath>
      <w:r w:rsidRPr="00CE7EB7">
        <w:rPr>
          <w:rFonts w:ascii="Aptos" w:hAnsi="Aptos"/>
        </w:rPr>
        <w:t xml:space="preserve"> is reconstructed uptake strength for consumer or strain </w:t>
      </w:r>
      <m:oMath>
        <m:r>
          <w:rPr>
            <w:rFonts w:ascii="Cambria Math" w:hAnsi="Cambria Math"/>
          </w:rPr>
          <m:t>i</m:t>
        </m:r>
      </m:oMath>
      <w:r w:rsidRPr="00CE7EB7">
        <w:rPr>
          <w:rFonts w:ascii="Aptos" w:hAnsi="Aptos"/>
        </w:rPr>
        <w:t xml:space="preserve"> and resource </w:t>
      </w:r>
      <m:oMath>
        <m:r>
          <w:rPr>
            <w:rFonts w:ascii="Cambria Math" w:hAnsi="Cambria Math"/>
          </w:rPr>
          <m:t>j</m:t>
        </m:r>
      </m:oMath>
      <w:r w:rsidRPr="00CE7EB7">
        <w:rPr>
          <w:rFonts w:ascii="Aptos" w:hAnsi="Aptos"/>
        </w:rPr>
        <w:t xml:space="preserve">. The fixed support indicator </w:t>
      </w:r>
      <m:oMath>
        <m:sSub>
          <m:sSubPr>
            <m:ctrlPr>
              <w:rPr>
                <w:rFonts w:ascii="Cambria Math" w:hAnsi="Cambria Math"/>
              </w:rPr>
            </m:ctrlPr>
          </m:sSubPr>
          <m:e>
            <m:r>
              <w:rPr>
                <w:rFonts w:ascii="Cambria Math" w:hAnsi="Cambria Math"/>
              </w:rPr>
              <m:t>S</m:t>
            </m:r>
          </m:e>
          <m:sub>
            <m:r>
              <w:rPr>
                <w:rFonts w:ascii="Cambria Math" w:hAnsi="Cambria Math"/>
              </w:rPr>
              <m:t>ij</m:t>
            </m:r>
          </m:sub>
        </m:sSub>
      </m:oMath>
      <w:r w:rsidRPr="00CE7EB7">
        <w:rPr>
          <w:rFonts w:ascii="Aptos" w:hAnsi="Aptos"/>
        </w:rPr>
        <w:t xml:space="preserve"> is one for an observed positive link and zero otherwise. The intercepts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CE7EB7">
        <w:rPr>
          <w:rFonts w:ascii="Aptos" w:hAnsi="Aptos"/>
        </w:rPr>
        <w:t xml:space="preserve"> and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CE7EB7">
        <w:rPr>
          <w:rFonts w:ascii="Aptos" w:hAnsi="Aptos"/>
        </w:rPr>
        <w:t xml:space="preserve"> are fitted consumer- and resource-specific strength biases, respectively;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CE7EB7">
        <w:rPr>
          <w:rFonts w:ascii="Aptos" w:hAnsi="Aptos"/>
        </w:rPr>
        <w:t xml:space="preserve"> are latent vectors of dimension </w:t>
      </w:r>
      <m:oMath>
        <m:r>
          <w:rPr>
            <w:rFonts w:ascii="Cambria Math" w:hAnsi="Cambria Math"/>
          </w:rPr>
          <m:t>k</m:t>
        </m:r>
      </m:oMath>
      <w:r w:rsidRPr="00CE7EB7">
        <w:rPr>
          <w:rFonts w:ascii="Aptos" w:hAnsi="Aptos"/>
        </w:rPr>
        <w:t xml:space="preserve">, with </w:t>
      </w:r>
      <m:oMath>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j</m:t>
            </m:r>
          </m:sub>
        </m:sSub>
      </m:oMath>
      <w:r w:rsidRPr="00CE7EB7">
        <w:rPr>
          <w:rFonts w:ascii="Aptos" w:hAnsi="Aptos"/>
        </w:rPr>
        <w:t xml:space="preserve"> their inner product. The logistic sigmoid </w:t>
      </w:r>
      <m:oMath>
        <m:r>
          <m:rPr>
            <m:sty m:val="p"/>
          </m:rPr>
          <w:rPr>
            <w:rFonts w:ascii="Cambria Math" w:hAnsi="Cambria Math"/>
          </w:rPr>
          <m:t>sigmoid</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e>
        </m:d>
      </m:oMath>
      <w:r w:rsidRPr="00CE7EB7">
        <w:rPr>
          <w:rFonts w:ascii="Aptos" w:hAnsi="Aptos"/>
        </w:rPr>
        <w:t xml:space="preserve"> returns a value strictly between zero and one. The mask enforces the original zeros, so the fitted </w:t>
      </w:r>
      <m:oMath>
        <m:r>
          <w:rPr>
            <w:rFonts w:ascii="Cambria Math" w:hAnsi="Cambria Math"/>
          </w:rPr>
          <m:t>k</m:t>
        </m:r>
      </m:oMath>
      <w:r w:rsidRPr="00CE7EB7">
        <w:rPr>
          <w:rFonts w:ascii="Aptos" w:hAnsi="Aptos"/>
        </w:rPr>
        <w:t xml:space="preserve"> concerns variation in strengths conditional on the observed topology, not the rank of the complete masked matrix.</w:t>
      </w:r>
    </w:p>
    <w:p w14:paraId="321B154A" w14:textId="77777777" w:rsidR="0070331D" w:rsidRPr="00CE7EB7" w:rsidRDefault="006D3DA6">
      <w:pPr>
        <w:spacing w:line="480" w:lineRule="auto"/>
        <w:rPr>
          <w:rFonts w:ascii="Aptos" w:hAnsi="Aptos"/>
          <w:color w:val="000000" w:themeColor="text1"/>
        </w:rPr>
      </w:pPr>
      <w:r w:rsidRPr="00CE7EB7">
        <w:rPr>
          <w:rFonts w:ascii="Aptos" w:hAnsi="Aptos"/>
        </w:rPr>
        <w:t xml:space="preserve">The support mask is fixed to the experimentally observed positive edges, and only positive edge magnitudes are modeled. The selected latent-strength model first satisfies the functional criterion at latent dimension </w:t>
      </w:r>
      <m:oMath>
        <m:r>
          <w:rPr>
            <w:rFonts w:ascii="Cambria Math" w:hAnsi="Cambria Math"/>
          </w:rPr>
          <m:t>k=6</m:t>
        </m:r>
      </m:oMath>
      <w:r w:rsidRPr="00CE7EB7">
        <w:rPr>
          <w:rFonts w:ascii="Aptos" w:hAnsi="Aptos"/>
        </w:rPr>
        <w:t xml:space="preserve"> under the reconstruction-selected-seed rule. This value is conditional on retaining the complete observed support mask: it is not the rank or total dimension of the complete consumption matrix. The masked nonlinear reconstruction retains ordinary numerical rank </w:t>
      </w:r>
      <m:oMath>
        <m:r>
          <w:rPr>
            <w:rFonts w:ascii="Cambria Math" w:hAnsi="Cambria Math"/>
          </w:rPr>
          <m:t>63</m:t>
        </m:r>
      </m:oMath>
      <w:r w:rsidRPr="00CE7EB7">
        <w:rPr>
          <w:rFonts w:ascii="Aptos" w:hAnsi="Aptos"/>
        </w:rPr>
        <w:t>. Under increasingly strict seed-</w:t>
      </w:r>
      <w:r w:rsidRPr="00CE7EB7">
        <w:rPr>
          <w:rFonts w:ascii="Aptos" w:hAnsi="Aptos"/>
        </w:rPr>
        <w:lastRenderedPageBreak/>
        <w:t xml:space="preserve">agreement criteria, support-preserving thresholds are </w:t>
      </w:r>
      <m:oMath>
        <m:r>
          <w:rPr>
            <w:rFonts w:ascii="Cambria Math" w:hAnsi="Cambria Math"/>
          </w:rPr>
          <m:t>6</m:t>
        </m:r>
      </m:oMath>
      <w:r w:rsidRPr="00CE7EB7">
        <w:rPr>
          <w:rFonts w:ascii="Aptos" w:hAnsi="Aptos"/>
        </w:rPr>
        <w:t xml:space="preserve">, </w:t>
      </w:r>
      <m:oMath>
        <m:r>
          <w:rPr>
            <w:rFonts w:ascii="Cambria Math" w:hAnsi="Cambria Math"/>
          </w:rPr>
          <m:t>6</m:t>
        </m:r>
      </m:oMath>
      <w:r w:rsidRPr="00CE7EB7">
        <w:rPr>
          <w:rFonts w:ascii="Aptos" w:hAnsi="Aptos"/>
        </w:rPr>
        <w:t xml:space="preserve">, and </w:t>
      </w:r>
      <m:oMath>
        <m:r>
          <w:rPr>
            <w:rFonts w:ascii="Cambria Math" w:hAnsi="Cambria Math"/>
          </w:rPr>
          <m:t>12</m:t>
        </m:r>
      </m:oMath>
      <w:r w:rsidRPr="00CE7EB7">
        <w:rPr>
          <w:rFonts w:ascii="Aptos" w:hAnsi="Aptos"/>
        </w:rPr>
        <w:t xml:space="preserve">, compared with ordinary-NMF thresholds of </w:t>
      </w:r>
      <m:oMath>
        <m:r>
          <w:rPr>
            <w:rFonts w:ascii="Cambria Math" w:hAnsi="Cambria Math"/>
          </w:rPr>
          <m:t>52</m:t>
        </m:r>
      </m:oMath>
      <w:r w:rsidRPr="00CE7EB7">
        <w:rPr>
          <w:rFonts w:ascii="Aptos" w:hAnsi="Aptos"/>
        </w:rPr>
        <w:t xml:space="preserve">, </w:t>
      </w:r>
      <m:oMath>
        <m:r>
          <w:rPr>
            <w:rFonts w:ascii="Cambria Math" w:hAnsi="Cambria Math"/>
          </w:rPr>
          <m:t>57</m:t>
        </m:r>
      </m:oMath>
      <w:r w:rsidRPr="00CE7EB7">
        <w:rPr>
          <w:rFonts w:ascii="Aptos" w:hAnsi="Aptos"/>
        </w:rPr>
        <w:t xml:space="preserve">, and </w:t>
      </w:r>
      <m:oMath>
        <m:r>
          <w:rPr>
            <w:rFonts w:ascii="Cambria Math" w:hAnsi="Cambria Math"/>
          </w:rPr>
          <m:t>60</m:t>
        </m:r>
      </m:oMath>
      <w:r w:rsidRPr="00CE7EB7">
        <w:rPr>
          <w:rFonts w:ascii="Aptos" w:hAnsi="Aptos"/>
        </w:rPr>
        <w:t xml:space="preserve"> (Table 1 in the main text).</w:t>
      </w:r>
    </w:p>
    <w:p w14:paraId="540C8A3A" w14:textId="77777777" w:rsidR="0070331D" w:rsidRPr="00CE7EB7" w:rsidRDefault="006D3DA6">
      <w:pPr>
        <w:spacing w:line="480" w:lineRule="auto"/>
        <w:rPr>
          <w:rFonts w:ascii="Aptos" w:hAnsi="Aptos"/>
          <w:color w:val="000000" w:themeColor="text1"/>
        </w:rPr>
      </w:pPr>
      <w:r w:rsidRPr="00CE7EB7">
        <w:rPr>
          <w:rFonts w:ascii="Aptos" w:hAnsi="Aptos"/>
          <w:b/>
          <w:bCs/>
        </w:rPr>
        <w:t>Supplementary Table 11</w:t>
      </w:r>
      <w:r w:rsidRPr="00CE7EB7">
        <w:rPr>
          <w:rFonts w:ascii="Aptos" w:hAnsi="Aptos"/>
          <w:color w:val="000000" w:themeColor="text1"/>
        </w:rPr>
        <w:t xml:space="preserve"> Support-preserving latent-strength models.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331D" w:rsidRPr="00CE7EB7" w14:paraId="5944EEDF" w14:textId="77777777">
        <w:trPr>
          <w:tblHeader/>
          <w:jc w:val="center"/>
        </w:trPr>
        <w:tc>
          <w:tcPr>
            <w:tcW w:w="1987" w:type="dxa"/>
            <w:shd w:val="clear" w:color="auto" w:fill="E7E6E6"/>
          </w:tcPr>
          <w:p w14:paraId="001FC4D1"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Latent dimension</w:t>
            </w:r>
          </w:p>
        </w:tc>
        <w:tc>
          <w:tcPr>
            <w:tcW w:w="1987" w:type="dxa"/>
            <w:shd w:val="clear" w:color="auto" w:fill="E7E6E6"/>
          </w:tcPr>
          <w:p w14:paraId="5DCE2F0F"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P3 Pearson</w:t>
            </w:r>
          </w:p>
        </w:tc>
        <w:tc>
          <w:tcPr>
            <w:tcW w:w="1987" w:type="dxa"/>
            <w:shd w:val="clear" w:color="auto" w:fill="E7E6E6"/>
          </w:tcPr>
          <w:p w14:paraId="49F047F0"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P3 RMSE</w:t>
            </w:r>
          </w:p>
        </w:tc>
        <w:tc>
          <w:tcPr>
            <w:tcW w:w="1987" w:type="dxa"/>
            <w:shd w:val="clear" w:color="auto" w:fill="E7E6E6"/>
          </w:tcPr>
          <w:p w14:paraId="2204A339"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Retained improvement</w:t>
            </w:r>
          </w:p>
        </w:tc>
        <w:tc>
          <w:tcPr>
            <w:tcW w:w="1987" w:type="dxa"/>
            <w:shd w:val="clear" w:color="auto" w:fill="E7E6E6"/>
          </w:tcPr>
          <w:p w14:paraId="26F67DCD" w14:textId="77777777" w:rsidR="0070331D" w:rsidRPr="00CE7EB7" w:rsidRDefault="006D3DA6">
            <w:pPr>
              <w:spacing w:line="240" w:lineRule="auto"/>
              <w:rPr>
                <w:rFonts w:ascii="Aptos" w:hAnsi="Aptos"/>
                <w:color w:val="000000" w:themeColor="text1"/>
                <w:sz w:val="20"/>
                <w:szCs w:val="20"/>
              </w:rPr>
            </w:pPr>
            <w:r w:rsidRPr="00CE7EB7">
              <w:rPr>
                <w:rFonts w:ascii="Aptos" w:hAnsi="Aptos"/>
                <w:b/>
                <w:color w:val="000000" w:themeColor="text1"/>
                <w:sz w:val="20"/>
                <w:szCs w:val="20"/>
              </w:rPr>
              <w:t>Seed pass fraction</w:t>
            </w:r>
          </w:p>
        </w:tc>
      </w:tr>
      <w:tr w:rsidR="0070331D" w:rsidRPr="00CE7EB7" w14:paraId="70DBF96A" w14:textId="77777777">
        <w:trPr>
          <w:jc w:val="center"/>
        </w:trPr>
        <w:tc>
          <w:tcPr>
            <w:tcW w:w="1987" w:type="dxa"/>
          </w:tcPr>
          <w:p w14:paraId="448CD33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m:t>
                </m:r>
              </m:oMath>
            </m:oMathPara>
          </w:p>
        </w:tc>
        <w:tc>
          <w:tcPr>
            <w:tcW w:w="1987" w:type="dxa"/>
          </w:tcPr>
          <w:p w14:paraId="698F44D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0.560</m:t>
                </m:r>
              </m:oMath>
            </m:oMathPara>
          </w:p>
        </w:tc>
        <w:tc>
          <w:tcPr>
            <w:tcW w:w="1987" w:type="dxa"/>
          </w:tcPr>
          <w:p w14:paraId="3850A28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2.602</m:t>
                </m:r>
              </m:oMath>
            </m:oMathPara>
          </w:p>
        </w:tc>
        <w:tc>
          <w:tcPr>
            <w:tcW w:w="1987" w:type="dxa"/>
          </w:tcPr>
          <w:p w14:paraId="087703C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0.473</m:t>
                </m:r>
              </m:oMath>
            </m:oMathPara>
          </w:p>
        </w:tc>
        <w:tc>
          <w:tcPr>
            <w:tcW w:w="1987" w:type="dxa"/>
          </w:tcPr>
          <w:p w14:paraId="58D7FB9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m:t>
                </m:r>
              </m:oMath>
            </m:oMathPara>
          </w:p>
        </w:tc>
      </w:tr>
      <w:tr w:rsidR="0070331D" w:rsidRPr="00CE7EB7" w14:paraId="3ADFDEF9" w14:textId="77777777">
        <w:trPr>
          <w:jc w:val="center"/>
        </w:trPr>
        <w:tc>
          <w:tcPr>
            <w:tcW w:w="1987" w:type="dxa"/>
          </w:tcPr>
          <w:p w14:paraId="41FC59B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3</m:t>
                </m:r>
              </m:oMath>
            </m:oMathPara>
          </w:p>
        </w:tc>
        <w:tc>
          <w:tcPr>
            <w:tcW w:w="1987" w:type="dxa"/>
          </w:tcPr>
          <w:p w14:paraId="090B4F4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0.684</m:t>
                </m:r>
              </m:oMath>
            </m:oMathPara>
          </w:p>
        </w:tc>
        <w:tc>
          <w:tcPr>
            <w:tcW w:w="1987" w:type="dxa"/>
          </w:tcPr>
          <w:p w14:paraId="11EDF3D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2.074</m:t>
                </m:r>
              </m:oMath>
            </m:oMathPara>
          </w:p>
        </w:tc>
        <w:tc>
          <w:tcPr>
            <w:tcW w:w="1987" w:type="dxa"/>
          </w:tcPr>
          <w:p w14:paraId="70AF97A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0.781</m:t>
                </m:r>
              </m:oMath>
            </m:oMathPara>
          </w:p>
        </w:tc>
        <w:tc>
          <w:tcPr>
            <w:tcW w:w="1987" w:type="dxa"/>
          </w:tcPr>
          <w:p w14:paraId="1B58DB4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0.10</m:t>
                </m:r>
              </m:oMath>
            </m:oMathPara>
          </w:p>
        </w:tc>
      </w:tr>
      <w:tr w:rsidR="0070331D" w:rsidRPr="00CE7EB7" w14:paraId="49E7D618" w14:textId="77777777">
        <w:trPr>
          <w:jc w:val="center"/>
        </w:trPr>
        <w:tc>
          <w:tcPr>
            <w:tcW w:w="1987" w:type="dxa"/>
          </w:tcPr>
          <w:p w14:paraId="3979BD31"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5</m:t>
                </m:r>
              </m:oMath>
            </m:oMathPara>
          </w:p>
        </w:tc>
        <w:tc>
          <w:tcPr>
            <w:tcW w:w="1987" w:type="dxa"/>
          </w:tcPr>
          <w:p w14:paraId="0E5BC643"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0.743</m:t>
                </m:r>
              </m:oMath>
            </m:oMathPara>
          </w:p>
        </w:tc>
        <w:tc>
          <w:tcPr>
            <w:tcW w:w="1987" w:type="dxa"/>
          </w:tcPr>
          <w:p w14:paraId="71D1BA6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1.813</m:t>
                </m:r>
              </m:oMath>
            </m:oMathPara>
          </w:p>
        </w:tc>
        <w:tc>
          <w:tcPr>
            <w:tcW w:w="1987" w:type="dxa"/>
          </w:tcPr>
          <w:p w14:paraId="15E9C962"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0.932</m:t>
                </m:r>
              </m:oMath>
            </m:oMathPara>
          </w:p>
        </w:tc>
        <w:tc>
          <w:tcPr>
            <w:tcW w:w="1987" w:type="dxa"/>
          </w:tcPr>
          <w:p w14:paraId="44DF69B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0.30</m:t>
                </m:r>
              </m:oMath>
            </m:oMathPara>
          </w:p>
        </w:tc>
      </w:tr>
      <w:tr w:rsidR="0070331D" w:rsidRPr="00CE7EB7" w14:paraId="22BABF5B" w14:textId="77777777">
        <w:trPr>
          <w:jc w:val="center"/>
        </w:trPr>
        <w:tc>
          <w:tcPr>
            <w:tcW w:w="1987" w:type="dxa"/>
          </w:tcPr>
          <w:p w14:paraId="5E0D222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6</m:t>
                </m:r>
              </m:oMath>
            </m:oMathPara>
          </w:p>
        </w:tc>
        <w:tc>
          <w:tcPr>
            <w:tcW w:w="1987" w:type="dxa"/>
          </w:tcPr>
          <w:p w14:paraId="38E4C874"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0.786</m:t>
                </m:r>
              </m:oMath>
            </m:oMathPara>
          </w:p>
        </w:tc>
        <w:tc>
          <w:tcPr>
            <w:tcW w:w="1987" w:type="dxa"/>
          </w:tcPr>
          <w:p w14:paraId="3BEAD52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1.646</m:t>
                </m:r>
              </m:oMath>
            </m:oMathPara>
          </w:p>
        </w:tc>
        <w:tc>
          <w:tcPr>
            <w:tcW w:w="1987" w:type="dxa"/>
          </w:tcPr>
          <w:p w14:paraId="3AFFBF7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1.029</m:t>
                </m:r>
              </m:oMath>
            </m:oMathPara>
          </w:p>
        </w:tc>
        <w:tc>
          <w:tcPr>
            <w:tcW w:w="1987" w:type="dxa"/>
          </w:tcPr>
          <w:p w14:paraId="0060F59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0.60</m:t>
                </m:r>
              </m:oMath>
            </m:oMathPara>
          </w:p>
        </w:tc>
      </w:tr>
      <w:tr w:rsidR="0070331D" w:rsidRPr="00CE7EB7" w14:paraId="4ED70EF3" w14:textId="77777777">
        <w:trPr>
          <w:jc w:val="center"/>
        </w:trPr>
        <w:tc>
          <w:tcPr>
            <w:tcW w:w="1987" w:type="dxa"/>
          </w:tcPr>
          <w:p w14:paraId="714BD88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m:t>
                </m:r>
              </m:oMath>
            </m:oMathPara>
          </w:p>
        </w:tc>
        <w:tc>
          <w:tcPr>
            <w:tcW w:w="1987" w:type="dxa"/>
          </w:tcPr>
          <w:p w14:paraId="05BFA74A"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0.779</m:t>
                </m:r>
              </m:oMath>
            </m:oMathPara>
          </w:p>
        </w:tc>
        <w:tc>
          <w:tcPr>
            <w:tcW w:w="1987" w:type="dxa"/>
          </w:tcPr>
          <w:p w14:paraId="2481845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1.733</m:t>
                </m:r>
              </m:oMath>
            </m:oMathPara>
          </w:p>
        </w:tc>
        <w:tc>
          <w:tcPr>
            <w:tcW w:w="1987" w:type="dxa"/>
          </w:tcPr>
          <w:p w14:paraId="17BF023B"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0.979</m:t>
                </m:r>
              </m:oMath>
            </m:oMathPara>
          </w:p>
        </w:tc>
        <w:tc>
          <w:tcPr>
            <w:tcW w:w="1987" w:type="dxa"/>
          </w:tcPr>
          <w:p w14:paraId="15C5583E"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0.75</m:t>
                </m:r>
              </m:oMath>
            </m:oMathPara>
          </w:p>
        </w:tc>
      </w:tr>
      <w:tr w:rsidR="0070331D" w:rsidRPr="00CE7EB7" w14:paraId="5CF56B92" w14:textId="77777777">
        <w:trPr>
          <w:jc w:val="center"/>
        </w:trPr>
        <w:tc>
          <w:tcPr>
            <w:tcW w:w="1987" w:type="dxa"/>
          </w:tcPr>
          <w:p w14:paraId="2B65649C"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12</m:t>
                </m:r>
              </m:oMath>
            </m:oMathPara>
          </w:p>
        </w:tc>
        <w:tc>
          <w:tcPr>
            <w:tcW w:w="1987" w:type="dxa"/>
          </w:tcPr>
          <w:p w14:paraId="6BD1707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0.793</m:t>
                </m:r>
              </m:oMath>
            </m:oMathPara>
          </w:p>
        </w:tc>
        <w:tc>
          <w:tcPr>
            <w:tcW w:w="1987" w:type="dxa"/>
          </w:tcPr>
          <w:p w14:paraId="5CD45D1F"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1.616</m:t>
                </m:r>
              </m:oMath>
            </m:oMathPara>
          </w:p>
        </w:tc>
        <w:tc>
          <w:tcPr>
            <w:tcW w:w="1987" w:type="dxa"/>
          </w:tcPr>
          <w:p w14:paraId="5A054AA6"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1.047</m:t>
                </m:r>
              </m:oMath>
            </m:oMathPara>
          </w:p>
        </w:tc>
        <w:tc>
          <w:tcPr>
            <w:tcW w:w="1987" w:type="dxa"/>
          </w:tcPr>
          <w:p w14:paraId="180D9AB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1.00</m:t>
                </m:r>
              </m:oMath>
            </m:oMathPara>
          </w:p>
        </w:tc>
      </w:tr>
      <w:tr w:rsidR="0070331D" w:rsidRPr="00CE7EB7" w14:paraId="739391E6" w14:textId="77777777">
        <w:trPr>
          <w:jc w:val="center"/>
        </w:trPr>
        <w:tc>
          <w:tcPr>
            <w:tcW w:w="1987" w:type="dxa"/>
          </w:tcPr>
          <w:p w14:paraId="4E2C9B00"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20</m:t>
                </m:r>
              </m:oMath>
            </m:oMathPara>
          </w:p>
        </w:tc>
        <w:tc>
          <w:tcPr>
            <w:tcW w:w="1987" w:type="dxa"/>
          </w:tcPr>
          <w:p w14:paraId="20433C7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0.772</m:t>
                </m:r>
              </m:oMath>
            </m:oMathPara>
          </w:p>
        </w:tc>
        <w:tc>
          <w:tcPr>
            <w:tcW w:w="1987" w:type="dxa"/>
          </w:tcPr>
          <w:p w14:paraId="4E73AFE5"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1.687</m:t>
                </m:r>
              </m:oMath>
            </m:oMathPara>
          </w:p>
        </w:tc>
        <w:tc>
          <w:tcPr>
            <w:tcW w:w="1987" w:type="dxa"/>
          </w:tcPr>
          <w:p w14:paraId="472FB809"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1.006</m:t>
                </m:r>
              </m:oMath>
            </m:oMathPara>
          </w:p>
        </w:tc>
        <w:tc>
          <w:tcPr>
            <w:tcW w:w="1987" w:type="dxa"/>
          </w:tcPr>
          <w:p w14:paraId="0CB414ED" w14:textId="77777777" w:rsidR="0070331D" w:rsidRPr="00CE7EB7" w:rsidRDefault="006D3DA6">
            <w:pPr>
              <w:spacing w:line="240" w:lineRule="auto"/>
              <w:rPr>
                <w:rFonts w:ascii="Aptos" w:hAnsi="Aptos"/>
                <w:color w:val="000000" w:themeColor="text1"/>
                <w:sz w:val="20"/>
                <w:szCs w:val="20"/>
              </w:rPr>
            </w:pPr>
            <m:oMathPara>
              <m:oMath>
                <m:r>
                  <w:rPr>
                    <w:rFonts w:ascii="Cambria Math" w:hAnsi="Cambria Math"/>
                    <w:color w:val="000000" w:themeColor="text1"/>
                    <w:sz w:val="20"/>
                    <w:szCs w:val="20"/>
                  </w:rPr>
                  <m:t>1.00</m:t>
                </m:r>
              </m:oMath>
            </m:oMathPara>
          </w:p>
        </w:tc>
      </w:tr>
    </w:tbl>
    <w:p w14:paraId="7F512188" w14:textId="77777777" w:rsidR="0075453E" w:rsidRPr="00CE7EB7" w:rsidRDefault="0075453E">
      <w:pPr>
        <w:pStyle w:val="Heading2"/>
        <w:spacing w:before="0"/>
        <w:rPr>
          <w:rFonts w:ascii="Aptos" w:hAnsi="Aptos"/>
          <w:sz w:val="21"/>
        </w:rPr>
      </w:pPr>
    </w:p>
    <w:p w14:paraId="66805DB5" w14:textId="77777777" w:rsidR="003310A9" w:rsidRPr="00CE7EB7" w:rsidRDefault="00235995">
      <w:pPr>
        <w:pStyle w:val="Heading2"/>
        <w:spacing w:before="0"/>
        <w:rPr>
          <w:rFonts w:ascii="Aptos" w:hAnsi="Aptos"/>
        </w:rPr>
      </w:pPr>
      <w:r w:rsidRPr="00CE7EB7">
        <w:rPr>
          <w:rFonts w:ascii="Aptos" w:hAnsi="Aptos"/>
          <w:sz w:val="21"/>
        </w:rPr>
        <w:t>S9.2 Weak-edge and energy-retention checks</w:t>
      </w:r>
    </w:p>
    <w:p w14:paraId="6597D9F8" w14:textId="77777777" w:rsidR="0070331D" w:rsidRPr="00CE7EB7" w:rsidRDefault="006D3DA6">
      <w:pPr>
        <w:spacing w:line="480" w:lineRule="auto"/>
        <w:rPr>
          <w:rFonts w:ascii="Aptos" w:hAnsi="Aptos"/>
          <w:color w:val="000000" w:themeColor="text1"/>
        </w:rPr>
      </w:pPr>
      <w:r w:rsidRPr="00CE7EB7">
        <w:rPr>
          <w:rFonts w:ascii="Aptos" w:hAnsi="Aptos"/>
          <w:noProof/>
          <w:color w:val="000000" w:themeColor="text1"/>
        </w:rPr>
        <w:drawing>
          <wp:inline distT="0" distB="0" distL="0" distR="0" wp14:anchorId="377E91D8" wp14:editId="0DADE709">
            <wp:extent cx="5303520" cy="3275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A_S3_weak_edges.png"/>
                    <pic:cNvPicPr/>
                  </pic:nvPicPr>
                  <pic:blipFill>
                    <a:blip r:embed="rId10"/>
                    <a:stretch>
                      <a:fillRect/>
                    </a:stretch>
                  </pic:blipFill>
                  <pic:spPr>
                    <a:xfrm>
                      <a:off x="0" y="0"/>
                      <a:ext cx="5303520" cy="3275704"/>
                    </a:xfrm>
                    <a:prstGeom prst="rect">
                      <a:avLst/>
                    </a:prstGeom>
                  </pic:spPr>
                </pic:pic>
              </a:graphicData>
            </a:graphic>
          </wp:inline>
        </w:drawing>
      </w:r>
    </w:p>
    <w:p w14:paraId="0D91EA8B" w14:textId="77777777" w:rsidR="0070331D" w:rsidRPr="00CE7EB7" w:rsidRDefault="006D3DA6">
      <w:pPr>
        <w:spacing w:line="480" w:lineRule="auto"/>
        <w:rPr>
          <w:rFonts w:ascii="Aptos" w:hAnsi="Aptos"/>
          <w:color w:val="000000" w:themeColor="text1"/>
        </w:rPr>
      </w:pPr>
      <w:r w:rsidRPr="00CE7EB7">
        <w:rPr>
          <w:rFonts w:ascii="Aptos" w:hAnsi="Aptos"/>
          <w:b/>
          <w:bCs/>
        </w:rPr>
        <w:t>Supplementary Fig. 3</w:t>
      </w:r>
      <w:r w:rsidRPr="00CE7EB7">
        <w:rPr>
          <w:rFonts w:ascii="Aptos" w:hAnsi="Aptos"/>
          <w:color w:val="000000" w:themeColor="text1"/>
        </w:rPr>
        <w:t xml:space="preserve"> Removing the globally weakest positive consumption edges does not produce the predicted high-leverage tail effect. The dashed line marks </w:t>
      </w:r>
      <m:oMath>
        <m:r>
          <w:rPr>
            <w:rFonts w:ascii="Cambria Math" w:hAnsi="Cambria Math"/>
            <w:color w:val="000000" w:themeColor="text1"/>
          </w:rPr>
          <m:t>95</m:t>
        </m:r>
        <m:r>
          <m:rPr>
            <m:sty m:val="p"/>
          </m:rPr>
          <w:rPr>
            <w:rFonts w:ascii="Cambria Math" w:hAnsi="Cambria Math"/>
            <w:color w:val="000000" w:themeColor="text1"/>
          </w:rPr>
          <m:t>%</m:t>
        </m:r>
      </m:oMath>
      <w:r w:rsidRPr="00CE7EB7">
        <w:rPr>
          <w:rFonts w:ascii="Aptos" w:hAnsi="Aptos"/>
          <w:color w:val="000000" w:themeColor="text1"/>
        </w:rPr>
        <w:t xml:space="preserve"> retained improvement.</w:t>
      </w:r>
    </w:p>
    <w:p w14:paraId="31DF9C1B" w14:textId="77777777" w:rsidR="0070331D" w:rsidRPr="00CE7EB7" w:rsidRDefault="006D3DA6">
      <w:pPr>
        <w:spacing w:line="480" w:lineRule="auto"/>
        <w:rPr>
          <w:rFonts w:ascii="Aptos" w:hAnsi="Aptos"/>
          <w:color w:val="000000" w:themeColor="text1"/>
        </w:rPr>
      </w:pPr>
      <w:r w:rsidRPr="00CE7EB7">
        <w:rPr>
          <w:rFonts w:ascii="Aptos" w:hAnsi="Aptos"/>
        </w:rPr>
        <w:t xml:space="preserve">The weakest </w:t>
      </w:r>
      <m:oMath>
        <m:r>
          <w:rPr>
            <w:rFonts w:ascii="Cambria Math" w:hAnsi="Cambria Math"/>
          </w:rPr>
          <m:t>10%</m:t>
        </m:r>
      </m:oMath>
      <w:r w:rsidRPr="00CE7EB7">
        <w:rPr>
          <w:rFonts w:ascii="Aptos" w:hAnsi="Aptos"/>
        </w:rPr>
        <w:t xml:space="preserve"> of positive edges can be removed while retaining more than </w:t>
      </w:r>
      <m:oMath>
        <m:r>
          <w:rPr>
            <w:rFonts w:ascii="Cambria Math" w:hAnsi="Cambria Math"/>
          </w:rPr>
          <m:t>99.98%</m:t>
        </m:r>
      </m:oMath>
      <w:r w:rsidRPr="00CE7EB7">
        <w:rPr>
          <w:rFonts w:ascii="Aptos" w:hAnsi="Aptos"/>
        </w:rPr>
        <w:t xml:space="preserve"> of Frobenius energy and essentially all predictive improvement. Conversely, random removal of the same number of edges is </w:t>
      </w:r>
      <w:r w:rsidRPr="00CE7EB7">
        <w:rPr>
          <w:rFonts w:ascii="Aptos" w:hAnsi="Aptos"/>
        </w:rPr>
        <w:lastRenderedPageBreak/>
        <w:t>generally more damaging. The result does not imply that support is unimportant: support-preserving latent models retain all observed links, whereas ordinary NMF creates and removes links during low-rank approximation.</w:t>
      </w:r>
    </w:p>
    <w:p w14:paraId="6A7487D4" w14:textId="77777777" w:rsidR="003310A9" w:rsidRPr="00CE7EB7" w:rsidRDefault="00235995">
      <w:pPr>
        <w:pStyle w:val="Heading2"/>
        <w:spacing w:before="0"/>
        <w:rPr>
          <w:rFonts w:ascii="Aptos" w:hAnsi="Aptos"/>
        </w:rPr>
      </w:pPr>
      <w:r w:rsidRPr="00CE7EB7">
        <w:rPr>
          <w:rFonts w:ascii="Aptos" w:hAnsi="Aptos"/>
          <w:sz w:val="21"/>
        </w:rPr>
        <w:t>Independent support validation in Ho et al.</w:t>
      </w:r>
    </w:p>
    <w:p w14:paraId="138BCFEC"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The archived Ho et al. consumer-resource model</w:t>
      </w:r>
      <w:r>
        <w:rPr>
          <w:rFonts w:ascii="Aptos" w:hAnsi="Aptos"/>
          <w:color w:val="000000" w:themeColor="text1"/>
          <w:vertAlign w:val="superscript"/>
        </w:rPr>
        <w:t>16</w:t>
      </w:r>
      <w:r>
        <w:rPr>
          <w:rFonts w:ascii="Aptos" w:hAnsi="Aptos"/>
          <w:color w:val="000000" w:themeColor="text1"/>
        </w:rPr>
        <w:t xml:space="preserve"> was reproduced from the public support matrices, inferred resource levels, kinetic parameters, and one hundred eighty-five assembly observations. The primary external outcome set was frozen as the sixty-four random three-to-thirteen-species assemblies before new control errors were examined.</w:t>
      </w:r>
    </w:p>
    <w:p w14:paraId="75B44688" w14:textId="77777777" w:rsidR="0070331D" w:rsidRPr="00CE7EB7" w:rsidRDefault="006D3DA6">
      <w:pPr>
        <w:spacing w:line="480" w:lineRule="auto"/>
        <w:rPr>
          <w:rFonts w:ascii="Aptos" w:hAnsi="Aptos"/>
          <w:color w:val="000000" w:themeColor="text1"/>
        </w:rPr>
      </w:pPr>
      <w:r w:rsidRPr="00CE7EB7">
        <w:rPr>
          <w:rFonts w:ascii="Aptos" w:hAnsi="Aptos"/>
        </w:rPr>
        <w:t>Ho independently validates the importance of the resource-sharing support, but not heterogeneous low-dimensional strength variation. In the deposited Ho model, positive consumption rates are constrained to be equal within each species, so a row-bias-only strength representation is exact by construction. The formal low-dimensional strength fit is therefore an identity implied by the model parameterization rather than an independent empirical replication of the heterogeneous hCom2* strength result.</w:t>
      </w:r>
    </w:p>
    <w:p w14:paraId="2002B948" w14:textId="77777777" w:rsidR="003310A9" w:rsidRPr="00CE7EB7" w:rsidRDefault="00235995">
      <w:pPr>
        <w:pStyle w:val="Heading2"/>
        <w:spacing w:before="0"/>
        <w:rPr>
          <w:rFonts w:ascii="Aptos" w:hAnsi="Aptos"/>
        </w:rPr>
      </w:pPr>
      <w:r w:rsidRPr="00CE7EB7">
        <w:rPr>
          <w:rFonts w:ascii="Aptos" w:hAnsi="Aptos"/>
          <w:sz w:val="21"/>
        </w:rPr>
        <w:t>Claim boundaries and reproducibility</w:t>
      </w:r>
    </w:p>
    <w:p w14:paraId="238ACBF6" w14:textId="77777777" w:rsidR="0070331D" w:rsidRPr="00CE7EB7" w:rsidRDefault="006D3DA6">
      <w:pPr>
        <w:spacing w:line="480" w:lineRule="auto"/>
        <w:rPr>
          <w:rFonts w:ascii="Aptos" w:hAnsi="Aptos"/>
          <w:color w:val="000000" w:themeColor="text1"/>
        </w:rPr>
      </w:pPr>
      <w:r w:rsidRPr="00CE7EB7">
        <w:rPr>
          <w:rFonts w:ascii="Aptos" w:hAnsi="Aptos"/>
          <w:color w:val="000000" w:themeColor="text1"/>
        </w:rPr>
        <w:t>The hCom2* passage three benchmark is not historically untouched because model settings in the source study were selected using that passage. Factorization seeds and new resource fits exclude passage three outcomes, but the benchmark remains a reproduction-and-perturbation analysis of a published computational system. In Ho, the main independent evidence comes from the frozen sixty-four-assembly set and the species-identity shuffle; the degree-preserving family has reduced validity. Neither system identifies a universal scalar dimension or literal number of ecological niches.</w:t>
      </w:r>
    </w:p>
    <w:p w14:paraId="1EBF56D0" w14:textId="77777777" w:rsidR="0070331D" w:rsidRPr="00CE7EB7" w:rsidRDefault="006D3DA6">
      <w:pPr>
        <w:pStyle w:val="Heading1"/>
        <w:spacing w:before="0"/>
        <w:rPr>
          <w:rFonts w:ascii="Aptos" w:hAnsi="Aptos"/>
          <w:color w:val="000000" w:themeColor="text1"/>
        </w:rPr>
      </w:pPr>
      <w:r w:rsidRPr="00CE7EB7">
        <w:rPr>
          <w:rFonts w:ascii="Aptos" w:hAnsi="Aptos"/>
          <w:color w:val="000000" w:themeColor="text1"/>
          <w:sz w:val="21"/>
        </w:rPr>
        <w:t>Supplementary References</w:t>
      </w:r>
    </w:p>
    <w:p w14:paraId="080BADAE" w14:textId="77777777" w:rsidR="003310A9" w:rsidRPr="00CE7EB7" w:rsidRDefault="00235995">
      <w:pPr>
        <w:ind w:left="288" w:hanging="288"/>
        <w:rPr>
          <w:rFonts w:ascii="Aptos" w:hAnsi="Aptos"/>
        </w:rPr>
      </w:pPr>
      <w:r w:rsidRPr="00CE7EB7">
        <w:rPr>
          <w:rFonts w:ascii="Aptos" w:hAnsi="Aptos"/>
        </w:rPr>
        <w:t>1. MacArthur, R. Species packing and competitive equilibrium for many species. Theor. Popul. Biol. 1, 1–11 (1970).</w:t>
      </w:r>
    </w:p>
    <w:p w14:paraId="4312A35C" w14:textId="77777777" w:rsidR="003310A9" w:rsidRPr="00CE7EB7" w:rsidRDefault="00235995">
      <w:pPr>
        <w:ind w:left="288" w:hanging="288"/>
        <w:rPr>
          <w:rFonts w:ascii="Aptos" w:hAnsi="Aptos"/>
        </w:rPr>
      </w:pPr>
      <w:r w:rsidRPr="00CE7EB7">
        <w:rPr>
          <w:rFonts w:ascii="Aptos" w:hAnsi="Aptos"/>
        </w:rPr>
        <w:t>2. Chesson, P. MacArthur's consumer-resource model. Theor. Popul. Biol. 37, 26–38 (1990).</w:t>
      </w:r>
    </w:p>
    <w:p w14:paraId="030B0048" w14:textId="77777777" w:rsidR="003310A9" w:rsidRPr="00CE7EB7" w:rsidRDefault="00235995">
      <w:pPr>
        <w:ind w:left="288" w:hanging="288"/>
        <w:rPr>
          <w:rFonts w:ascii="Aptos" w:hAnsi="Aptos"/>
        </w:rPr>
      </w:pPr>
      <w:r w:rsidRPr="00CE7EB7">
        <w:rPr>
          <w:rFonts w:ascii="Aptos" w:hAnsi="Aptos"/>
        </w:rPr>
        <w:t>3. Tikhonov, A. N. Systems of differential equations containing small parameters in the derivatives. Mat. Sb. 31, 575–586 (1952).</w:t>
      </w:r>
    </w:p>
    <w:p w14:paraId="58168593" w14:textId="77777777" w:rsidR="003310A9" w:rsidRPr="00CE7EB7" w:rsidRDefault="00235995">
      <w:pPr>
        <w:ind w:left="288" w:hanging="288"/>
        <w:rPr>
          <w:rFonts w:ascii="Aptos" w:hAnsi="Aptos"/>
        </w:rPr>
      </w:pPr>
      <w:r w:rsidRPr="00CE7EB7">
        <w:rPr>
          <w:rFonts w:ascii="Aptos" w:hAnsi="Aptos"/>
        </w:rPr>
        <w:t>4. Fenichel, N. Geometric singular perturbation theory for ordinary differential equations. J. Differ. Equ. 31, 53–98 (1979).</w:t>
      </w:r>
    </w:p>
    <w:p w14:paraId="730F33D0" w14:textId="77777777" w:rsidR="003310A9" w:rsidRPr="00CE7EB7" w:rsidRDefault="00235995">
      <w:pPr>
        <w:ind w:left="288" w:hanging="288"/>
        <w:rPr>
          <w:rFonts w:ascii="Aptos" w:hAnsi="Aptos"/>
        </w:rPr>
      </w:pPr>
      <w:r w:rsidRPr="00CE7EB7">
        <w:rPr>
          <w:rFonts w:ascii="Aptos" w:hAnsi="Aptos"/>
        </w:rPr>
        <w:t>5. Mustri, M. P., Duan, Q. &amp; Pawar, S. Accuracy of the Lotka-Volterra model fails in strongly coupled microbial consumer-resource systems. PLoS Comput. Biol. 21, e1013719 (2025).</w:t>
      </w:r>
    </w:p>
    <w:p w14:paraId="2D72371D" w14:textId="77777777" w:rsidR="003310A9" w:rsidRPr="00CE7EB7" w:rsidRDefault="00235995">
      <w:pPr>
        <w:ind w:left="288" w:hanging="288"/>
        <w:rPr>
          <w:rFonts w:ascii="Aptos" w:hAnsi="Aptos"/>
        </w:rPr>
      </w:pPr>
      <w:r w:rsidRPr="00CE7EB7">
        <w:rPr>
          <w:rFonts w:ascii="Aptos" w:hAnsi="Aptos"/>
        </w:rPr>
        <w:t>6. Srinivasan, K., Plata, G. &amp; Dixit, P. D. Low-dimensional coexistence in complex microbial ecosystems. PRX Life 4, 033026 (2026).</w:t>
      </w:r>
    </w:p>
    <w:p w14:paraId="2943BA7C" w14:textId="77777777" w:rsidR="003310A9" w:rsidRPr="00CE7EB7" w:rsidRDefault="00235995">
      <w:pPr>
        <w:ind w:left="288" w:hanging="288"/>
        <w:rPr>
          <w:rFonts w:ascii="Aptos" w:hAnsi="Aptos"/>
        </w:rPr>
      </w:pPr>
      <w:r w:rsidRPr="00CE7EB7">
        <w:rPr>
          <w:rFonts w:ascii="Aptos" w:hAnsi="Aptos"/>
        </w:rPr>
        <w:t>7. Stein, R. R. et al. Ecological modeling from time-series inference: insight into dynamics and stability of intestinal microbiota. PLoS Comput. Biol. 9, e1003388 (2013).</w:t>
      </w:r>
    </w:p>
    <w:p w14:paraId="2655ED8E" w14:textId="77777777" w:rsidR="003310A9" w:rsidRPr="00CE7EB7" w:rsidRDefault="00235995">
      <w:pPr>
        <w:ind w:left="288" w:hanging="288"/>
        <w:rPr>
          <w:rFonts w:ascii="Aptos" w:hAnsi="Aptos"/>
        </w:rPr>
      </w:pPr>
      <w:r w:rsidRPr="00CE7EB7">
        <w:rPr>
          <w:rFonts w:ascii="Aptos" w:hAnsi="Aptos"/>
        </w:rPr>
        <w:t>8. Chen, X., Crocker, K., Kuehn, S., Walczak, A. M. &amp; Mora, T. Inferring resource competition in microbial communities from time series. PRX Life 3, 023019 (2025).</w:t>
      </w:r>
    </w:p>
    <w:p w14:paraId="3814B93B" w14:textId="77777777" w:rsidR="003310A9" w:rsidRPr="00CE7EB7" w:rsidRDefault="00235995">
      <w:pPr>
        <w:ind w:left="288" w:hanging="288"/>
        <w:rPr>
          <w:rFonts w:ascii="Aptos" w:hAnsi="Aptos"/>
        </w:rPr>
      </w:pPr>
      <w:r w:rsidRPr="00CE7EB7">
        <w:rPr>
          <w:rFonts w:ascii="Aptos" w:hAnsi="Aptos"/>
        </w:rPr>
        <w:t>9. Aitchison, J. The statistical analysis of compositional data. J. R. Stat. Soc. B 44, 139–160 (1982).</w:t>
      </w:r>
    </w:p>
    <w:p w14:paraId="0E12D1E5" w14:textId="77777777" w:rsidR="003310A9" w:rsidRPr="00CE7EB7" w:rsidRDefault="00235995">
      <w:pPr>
        <w:ind w:left="288" w:hanging="288"/>
        <w:rPr>
          <w:rFonts w:ascii="Aptos" w:hAnsi="Aptos"/>
        </w:rPr>
      </w:pPr>
      <w:r w:rsidRPr="00CE7EB7">
        <w:rPr>
          <w:rFonts w:ascii="Aptos" w:hAnsi="Aptos"/>
        </w:rPr>
        <w:t>10. Gloor, G. B., Macklaim, J. M., Pawlowsky-Glahn, V. &amp; Egozcue, J. J. Microbiome datasets are compositional: and this is not optional. Front. Microbiol. 8, 2224 (2017).</w:t>
      </w:r>
    </w:p>
    <w:p w14:paraId="11B92D4D" w14:textId="77777777" w:rsidR="003310A9" w:rsidRPr="00CE7EB7" w:rsidRDefault="00235995">
      <w:pPr>
        <w:ind w:left="288" w:hanging="288"/>
        <w:rPr>
          <w:rFonts w:ascii="Aptos" w:hAnsi="Aptos"/>
        </w:rPr>
      </w:pPr>
      <w:r w:rsidRPr="00CE7EB7">
        <w:rPr>
          <w:rFonts w:ascii="Aptos" w:hAnsi="Aptos"/>
        </w:rPr>
        <w:t>11. Muller, E., Algavi, Y. M. &amp; Borenstein, E. The gut microbiome-metabolome dataset collection: a curated resource for integrative meta-analysis. npj Biofilms Microbiomes 8, 79 (2022).</w:t>
      </w:r>
    </w:p>
    <w:p w14:paraId="3D11CE46" w14:textId="77777777" w:rsidR="003310A9" w:rsidRPr="00CE7EB7" w:rsidRDefault="00235995">
      <w:pPr>
        <w:ind w:left="288" w:hanging="288"/>
        <w:rPr>
          <w:rFonts w:ascii="Aptos" w:hAnsi="Aptos"/>
        </w:rPr>
      </w:pPr>
      <w:r w:rsidRPr="00CE7EB7">
        <w:rPr>
          <w:rFonts w:ascii="Aptos" w:hAnsi="Aptos"/>
        </w:rPr>
        <w:t>12. Han, S. et al. A metabolomics pipeline for the mechanistic interrogation of the gut microbiome. Nature 595, 415–420 (2021).</w:t>
      </w:r>
    </w:p>
    <w:p w14:paraId="6F2322B4" w14:textId="77777777" w:rsidR="003310A9" w:rsidRPr="00CE7EB7" w:rsidRDefault="00235995">
      <w:pPr>
        <w:ind w:left="288" w:hanging="288"/>
        <w:rPr>
          <w:rFonts w:ascii="Aptos" w:hAnsi="Aptos"/>
        </w:rPr>
      </w:pPr>
      <w:r w:rsidRPr="00CE7EB7">
        <w:rPr>
          <w:rFonts w:ascii="Aptos" w:hAnsi="Aptos"/>
        </w:rPr>
        <w:t>13. Jin, X. et al. Culturing of a complex gut microbial community in mucin-hydrogel carriers reveals strain- and gene-associated spatial organization. Nat. Commun. 14, 3510 (2023).</w:t>
      </w:r>
    </w:p>
    <w:p w14:paraId="31F733F9" w14:textId="77777777" w:rsidR="003310A9" w:rsidRPr="00CE7EB7" w:rsidRDefault="00235995">
      <w:pPr>
        <w:ind w:left="288" w:hanging="288"/>
        <w:rPr>
          <w:rFonts w:ascii="Aptos" w:hAnsi="Aptos"/>
        </w:rPr>
      </w:pPr>
      <w:r w:rsidRPr="00CE7EB7">
        <w:rPr>
          <w:rFonts w:ascii="Aptos" w:hAnsi="Aptos"/>
        </w:rPr>
        <w:t>14. Mahajan, T. &amp; Maslov, S. Coarse-grained model of serial dilution dynamics in synthetic human gut microbiome. PLoS Comput. Biol. 21, e1013222 (2025).</w:t>
      </w:r>
    </w:p>
    <w:p w14:paraId="49873781" w14:textId="77777777" w:rsidR="003310A9" w:rsidRPr="00CE7EB7" w:rsidRDefault="00235995">
      <w:pPr>
        <w:rPr>
          <w:rFonts w:ascii="Aptos" w:hAnsi="Aptos"/>
        </w:rPr>
      </w:pPr>
      <w:r w:rsidRPr="00CE7EB7">
        <w:rPr>
          <w:rFonts w:ascii="Aptos" w:hAnsi="Aptos"/>
        </w:rPr>
        <w:t>15. Lee, D. D. &amp; Seung, H. S. Learning the parts of objects by non-negative matrix factorization. Nature 401, 788–791 (1999). https://doi.org/10.1038/44565</w:t>
      </w:r>
    </w:p>
    <w:p w14:paraId="7391B68A" w14:textId="77777777" w:rsidR="003310A9" w:rsidRPr="00CE7EB7" w:rsidRDefault="00235995">
      <w:pPr>
        <w:ind w:left="288" w:hanging="288"/>
        <w:rPr>
          <w:rFonts w:ascii="Aptos" w:hAnsi="Aptos"/>
        </w:rPr>
      </w:pPr>
      <w:r w:rsidRPr="00CE7EB7">
        <w:rPr>
          <w:rFonts w:ascii="Aptos" w:hAnsi="Aptos"/>
        </w:rPr>
        <w:t>16. Ho, P.-Y., Nguyen, T. H., Sanchez, J. M., DeFelice, B. C. &amp; Huang, K. C. Resource competition predicts assembly of gut bacterial communities in vitro. Nat. Microbiol. 9, 1036–1048 (2024).</w:t>
      </w:r>
    </w:p>
    <w:sectPr w:rsidR="003310A9" w:rsidRPr="00CE7EB7" w:rsidSect="00034616">
      <w:footerReference w:type="default" r:id="rId11"/>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10AD7" w14:textId="77777777" w:rsidR="002B22C3" w:rsidRDefault="002B22C3">
      <w:pPr>
        <w:spacing w:after="0" w:line="240" w:lineRule="auto"/>
      </w:pPr>
      <w:r>
        <w:separator/>
      </w:r>
    </w:p>
  </w:endnote>
  <w:endnote w:type="continuationSeparator" w:id="0">
    <w:p w14:paraId="4F4F3DC0" w14:textId="77777777" w:rsidR="002B22C3" w:rsidRDefault="002B2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75294F" w14:textId="77777777" w:rsidR="0070331D" w:rsidRDefault="006D3DA6">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C8ACD" w14:textId="77777777" w:rsidR="002B22C3" w:rsidRDefault="002B22C3">
      <w:pPr>
        <w:spacing w:after="0" w:line="240" w:lineRule="auto"/>
      </w:pPr>
      <w:r>
        <w:separator/>
      </w:r>
    </w:p>
  </w:footnote>
  <w:footnote w:type="continuationSeparator" w:id="0">
    <w:p w14:paraId="6723EB2D" w14:textId="77777777" w:rsidR="002B22C3" w:rsidRDefault="002B2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882083">
    <w:abstractNumId w:val="8"/>
  </w:num>
  <w:num w:numId="2" w16cid:durableId="1170682514">
    <w:abstractNumId w:val="6"/>
  </w:num>
  <w:num w:numId="3" w16cid:durableId="1221673116">
    <w:abstractNumId w:val="5"/>
  </w:num>
  <w:num w:numId="4" w16cid:durableId="1708018066">
    <w:abstractNumId w:val="4"/>
  </w:num>
  <w:num w:numId="5" w16cid:durableId="2036953320">
    <w:abstractNumId w:val="7"/>
  </w:num>
  <w:num w:numId="6" w16cid:durableId="619413090">
    <w:abstractNumId w:val="3"/>
  </w:num>
  <w:num w:numId="7" w16cid:durableId="589242322">
    <w:abstractNumId w:val="2"/>
  </w:num>
  <w:num w:numId="8" w16cid:durableId="1936327067">
    <w:abstractNumId w:val="1"/>
  </w:num>
  <w:num w:numId="9" w16cid:durableId="1873155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95"/>
    <w:rsid w:val="0029639D"/>
    <w:rsid w:val="002B22C3"/>
    <w:rsid w:val="00326F90"/>
    <w:rsid w:val="003310A9"/>
    <w:rsid w:val="00345D38"/>
    <w:rsid w:val="00582CE2"/>
    <w:rsid w:val="006D3DA6"/>
    <w:rsid w:val="0070331D"/>
    <w:rsid w:val="007239B5"/>
    <w:rsid w:val="0075453E"/>
    <w:rsid w:val="00A82CC9"/>
    <w:rsid w:val="00AA1D8D"/>
    <w:rsid w:val="00B47730"/>
    <w:rsid w:val="00B81424"/>
    <w:rsid w:val="00CB0664"/>
    <w:rsid w:val="00CE7EB7"/>
    <w:rsid w:val="00E54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35D7E"/>
  <w14:defaultImageDpi w14:val="300"/>
  <w15:docId w15:val="{94BD031D-E331-A447-9697-0F96C3F3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heme="minorBidi"/>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line="480" w:lineRule="auto"/>
      <w:outlineLvl w:val="0"/>
    </w:pPr>
    <w:rPr>
      <w:b/>
      <w:bCs/>
      <w:sz w:val="24"/>
    </w:rPr>
  </w:style>
  <w:style w:type="paragraph" w:styleId="Heading2">
    <w:name w:val="heading 2"/>
    <w:basedOn w:val="Normal"/>
    <w:next w:val="Normal"/>
    <w:link w:val="Heading2Char"/>
    <w:uiPriority w:val="9"/>
    <w:unhideWhenUsed/>
    <w:qFormat/>
    <w:rsid w:val="00FC693F"/>
    <w:pPr>
      <w:keepNext/>
      <w:keepLines/>
      <w:spacing w:before="200" w:line="480" w:lineRule="auto"/>
      <w:outlineLvl w:val="1"/>
    </w:pPr>
    <w:rPr>
      <w:b/>
      <w:bCs/>
      <w:i/>
      <w:iCs/>
      <w:sz w:val="22"/>
    </w:rPr>
  </w:style>
  <w:style w:type="paragraph" w:styleId="Heading3">
    <w:name w:val="heading 3"/>
    <w:basedOn w:val="Normal"/>
    <w:next w:val="Normal"/>
    <w:link w:val="Heading3Char"/>
    <w:uiPriority w:val="9"/>
    <w:unhideWhenUsed/>
    <w:qFormat/>
    <w:rsid w:val="00FC693F"/>
    <w:pPr>
      <w:keepNext/>
      <w:keepLines/>
      <w:spacing w:before="120" w:after="0" w:line="48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after="0" w:line="48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120" w:after="0" w:line="48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20" w:after="0" w:line="48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120" w:after="0" w:line="48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120" w:after="0" w:line="480" w:lineRule="auto"/>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120" w:after="0" w:line="480"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color w:val="000000"/>
      <w:sz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5815</Words>
  <Characters>33147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Bonabeau</cp:lastModifiedBy>
  <cp:revision>5</cp:revision>
  <dcterms:created xsi:type="dcterms:W3CDTF">2013-12-23T23:15:00Z</dcterms:created>
  <dcterms:modified xsi:type="dcterms:W3CDTF">2026-10-21T15:40:00Z</dcterms:modified>
  <cp:category/>
</cp:coreProperties>
</file>