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6</w:t>
      </w:r>
    </w:p>
    <w:p>
      <w:pPr>
        <w:pStyle w:val="Normal"/>
        <w:spacing w:before="0" w:after="40"/>
        <w:rPr/>
      </w:pPr>
      <w:r>
        <w:rPr>
          <w:rFonts w:eastAsia="Arial" w:cs="Arial"/>
          <w:b/>
          <w:bCs/>
          <w:color w:val="1F4E79"/>
          <w:sz w:val="44"/>
          <w:szCs w:val="44"/>
        </w:rPr>
        <w:t>Infrastructure &amp; Portfolio</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Database packages, cloud coordination, ExaScale integration, namespace infrastructure, product portfolio, and revenue model</w:t>
      </w:r>
    </w:p>
    <w:p>
      <w:pPr>
        <w:pStyle w:val="Normal"/>
        <w:spacing w:before="0" w:after="100"/>
        <w:rPr/>
      </w:pPr>
      <w:r>
        <w:rPr/>
      </w:r>
    </w:p>
    <w:p>
      <w:pPr>
        <w:pStyle w:val="Heading1"/>
        <w:rPr/>
      </w:pPr>
      <w:r>
        <w:rPr>
          <w:rFonts w:eastAsia="Arial" w:cs="Arial" w:ascii="Arial" w:hAnsi="Arial"/>
        </w:rPr>
        <w:t>1. Purpose</w:t>
      </w:r>
    </w:p>
    <w:p>
      <w:pPr>
        <w:pStyle w:val="Normal"/>
        <w:spacing w:before="0" w:after="140"/>
        <w:rPr/>
      </w:pPr>
      <w:r>
        <w:rPr>
          <w:rFonts w:eastAsia="Arial" w:cs="Arial"/>
          <w:sz w:val="22"/>
          <w:szCs w:val="22"/>
        </w:rPr>
        <w:t>This part defines the infrastructure components that enable Bonafide deployment: the database packages that provide transparent encryption within existing database systems, the cloud coordination layer, the ExaScale integration that serves as the first implementation, the namespace infrastructure at bonafide.id, and the product portfolio that maps specification components to deployable software.</w:t>
      </w:r>
    </w:p>
    <w:p>
      <w:pPr>
        <w:pStyle w:val="Normal"/>
        <w:rPr/>
      </w:pPr>
      <w:r>
        <w:rPr/>
      </w:r>
      <w:r>
        <w:br w:type="page"/>
      </w:r>
    </w:p>
    <w:p>
      <w:pPr>
        <w:pStyle w:val="Heading1"/>
        <w:spacing w:before="0" w:after="200"/>
        <w:rPr/>
      </w:pPr>
      <w:r>
        <w:rPr>
          <w:rFonts w:eastAsia="Arial" w:cs="Arial" w:ascii="Arial" w:hAnsi="Arial"/>
        </w:rPr>
        <w:t>2. Database Packages</w:t>
      </w:r>
    </w:p>
    <w:p>
      <w:pPr>
        <w:pStyle w:val="Heading2"/>
        <w:rPr/>
      </w:pPr>
      <w:r>
        <w:rPr>
          <w:rFonts w:eastAsia="Arial" w:cs="Arial" w:ascii="Arial" w:hAnsi="Arial"/>
        </w:rPr>
        <w:t>2.1 Transparent Encryption Layer</w:t>
      </w:r>
    </w:p>
    <w:p>
      <w:pPr>
        <w:pStyle w:val="Normal"/>
        <w:spacing w:before="0" w:after="140"/>
        <w:rPr/>
      </w:pPr>
      <w:r>
        <w:rPr>
          <w:rFonts w:eastAsia="Arial" w:cs="Arial"/>
          <w:sz w:val="22"/>
          <w:szCs w:val="22"/>
        </w:rPr>
        <w:t>Bonafide database packages provide per-quantum encryption within existing database systems. The institution’s application code issues standard SQL queries. The Bonafide layer intercepts reads and writes, encrypts and decrypts through the runtime (Part 12), and manages key material and audit logging transparently. From the application’s perspective, the database contains normal data. From the storage engine’s perspective, it contains encrypted blobs.</w:t>
      </w:r>
    </w:p>
    <w:p>
      <w:pPr>
        <w:pStyle w:val="Heading2"/>
        <w:rPr/>
      </w:pPr>
      <w:r>
        <w:rPr>
          <w:rFonts w:eastAsia="Arial" w:cs="Arial" w:ascii="Arial" w:hAnsi="Arial"/>
        </w:rPr>
        <w:t>2.2 Supported Databases</w:t>
      </w:r>
    </w:p>
    <w:tbl>
      <w:tblPr>
        <w:tblW w:w="9360" w:type="dxa"/>
        <w:jc w:val="start"/>
        <w:tblInd w:w="0" w:type="dxa"/>
        <w:tblLayout w:type="fixed"/>
        <w:tblCellMar>
          <w:top w:w="80" w:type="dxa"/>
          <w:start w:w="120" w:type="dxa"/>
          <w:bottom w:w="80" w:type="dxa"/>
          <w:end w:w="120" w:type="dxa"/>
        </w:tblCellMar>
      </w:tblPr>
      <w:tblGrid>
        <w:gridCol w:w="1199"/>
        <w:gridCol w:w="1800"/>
        <w:gridCol w:w="2400"/>
        <w:gridCol w:w="3961"/>
      </w:tblGrid>
      <w:tr>
        <w:trPr/>
        <w:tc>
          <w:tcPr>
            <w:tcW w:w="1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Database</w:t>
            </w:r>
          </w:p>
        </w:tc>
        <w:tc>
          <w:tcPr>
            <w:tcW w:w="18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Package Name</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Integration Method</w:t>
            </w:r>
          </w:p>
        </w:tc>
        <w:tc>
          <w:tcPr>
            <w:tcW w:w="39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Notes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PostgreSQL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bonafide-db-postgres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Extension (pg_bonafide) + trigger-based encryption</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Most mature reference implementation. Supports row-level and column-level encryption granularity.</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Oracle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bonafide-db-oracle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PL/SQL packages + Virtual Private Database integration</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Leverages Oracle’s VPD for row-level access control alongside Bonafide encryption.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SQL Server</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bonafide-db-sqlserver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CLR integration + Always Encrypted extension</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Extends SQL Server’s Always Encrypted with Bonafide key management and audit.</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MySQL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bonafide-db-mysql</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Plugin API + proxy layer</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Plugin intercepts queries at the MySQL protocol level.</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MongoDB</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bonafide-db-mongodb</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Client-Side Field Level Encryption integration</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Extends MongoDB’s CSFLE with Bonafide key hierarchy and multi-path wrapping.</w:t>
            </w:r>
          </w:p>
        </w:tc>
      </w:tr>
    </w:tbl>
    <w:p>
      <w:pPr>
        <w:pStyle w:val="Normal"/>
        <w:spacing w:before="0" w:after="100"/>
        <w:rPr/>
      </w:pPr>
      <w:r>
        <w:rPr/>
      </w:r>
    </w:p>
    <w:p>
      <w:pPr>
        <w:pStyle w:val="Heading2"/>
        <w:rPr/>
      </w:pPr>
      <w:r>
        <w:rPr>
          <w:rFonts w:eastAsia="Arial" w:cs="Arial" w:ascii="Arial" w:hAnsi="Arial"/>
        </w:rPr>
        <w:t>2.3 Encryption Granularity</w:t>
      </w:r>
    </w:p>
    <w:p>
      <w:pPr>
        <w:pStyle w:val="Normal"/>
        <w:spacing w:before="0" w:after="140"/>
        <w:rPr/>
      </w:pPr>
      <w:r>
        <w:rPr>
          <w:rFonts w:eastAsia="Arial" w:cs="Arial"/>
          <w:sz w:val="22"/>
          <w:szCs w:val="22"/>
        </w:rPr>
        <w:t>Database packages support three granularity levels:</w:t>
      </w:r>
    </w:p>
    <w:p>
      <w:pPr>
        <w:pStyle w:val="ListParagraph"/>
        <w:numPr>
          <w:ilvl w:val="0"/>
          <w:numId w:val="3"/>
        </w:numPr>
        <w:spacing w:before="0" w:after="80"/>
        <w:rPr/>
      </w:pPr>
      <w:r>
        <w:rPr>
          <w:rFonts w:eastAsia="Arial" w:cs="Arial"/>
          <w:b/>
          <w:bCs/>
          <w:sz w:val="22"/>
          <w:szCs w:val="22"/>
        </w:rPr>
        <w:t xml:space="preserve">Column-level: </w:t>
      </w:r>
      <w:r>
        <w:rPr>
          <w:rFonts w:eastAsia="Arial" w:cs="Arial"/>
          <w:sz w:val="22"/>
          <w:szCs w:val="22"/>
        </w:rPr>
        <w:t>Individual columns are encrypted. The application queries normally; the Bonafide layer encrypts/decrypts specified columns transparently. Indexes on encrypted columns use deterministic encryption for equality queries or are replaced with encrypted indexes.</w:t>
      </w:r>
    </w:p>
    <w:p>
      <w:pPr>
        <w:pStyle w:val="ListParagraph"/>
        <w:numPr>
          <w:ilvl w:val="0"/>
          <w:numId w:val="1"/>
        </w:numPr>
        <w:spacing w:before="0" w:after="80"/>
        <w:rPr/>
      </w:pPr>
      <w:r>
        <w:rPr>
          <w:rFonts w:eastAsia="Arial" w:cs="Arial"/>
          <w:b/>
          <w:bCs/>
          <w:sz w:val="22"/>
          <w:szCs w:val="22"/>
        </w:rPr>
        <w:t xml:space="preserve">Row-level: </w:t>
      </w:r>
      <w:r>
        <w:rPr>
          <w:rFonts w:eastAsia="Arial" w:cs="Arial"/>
          <w:sz w:val="22"/>
          <w:szCs w:val="22"/>
        </w:rPr>
        <w:t>Entire rows are encrypted as single quanta. The primary key and access-control columns remain in plaintext for routing; the payload columns are encrypted as a unit.</w:t>
      </w:r>
    </w:p>
    <w:p>
      <w:pPr>
        <w:pStyle w:val="ListParagraph"/>
        <w:numPr>
          <w:ilvl w:val="0"/>
          <w:numId w:val="1"/>
        </w:numPr>
        <w:spacing w:before="0" w:after="80"/>
        <w:rPr/>
      </w:pPr>
      <w:r>
        <w:rPr>
          <w:rFonts w:eastAsia="Arial" w:cs="Arial"/>
          <w:b/>
          <w:bCs/>
          <w:sz w:val="22"/>
          <w:szCs w:val="22"/>
        </w:rPr>
        <w:t xml:space="preserve">Document-level (MongoDB): </w:t>
      </w:r>
      <w:r>
        <w:rPr>
          <w:rFonts w:eastAsia="Arial" w:cs="Arial"/>
          <w:sz w:val="22"/>
          <w:szCs w:val="22"/>
        </w:rPr>
        <w:t>Individual fields within a document are encrypted independently. Each field can have a different security level and access policy.</w:t>
      </w:r>
    </w:p>
    <w:p>
      <w:pPr>
        <w:pStyle w:val="Heading2"/>
        <w:rPr/>
      </w:pPr>
      <w:r>
        <w:rPr>
          <w:rFonts w:eastAsia="Arial" w:cs="Arial" w:ascii="Arial" w:hAnsi="Arial"/>
        </w:rPr>
        <w:t>2.4 Query Capabilities on Encrypted Data</w:t>
      </w:r>
    </w:p>
    <w:p>
      <w:pPr>
        <w:pStyle w:val="Normal"/>
        <w:spacing w:before="0" w:after="140"/>
        <w:rPr/>
      </w:pPr>
      <w:r>
        <w:rPr>
          <w:rFonts w:eastAsia="Arial" w:cs="Arial"/>
          <w:sz w:val="22"/>
          <w:szCs w:val="22"/>
        </w:rPr>
        <w:t>Encrypted data presents query challenges. The database packages support:</w:t>
      </w:r>
    </w:p>
    <w:p>
      <w:pPr>
        <w:pStyle w:val="ListParagraph"/>
        <w:numPr>
          <w:ilvl w:val="0"/>
          <w:numId w:val="1"/>
        </w:numPr>
        <w:spacing w:before="0" w:after="60"/>
        <w:rPr/>
      </w:pPr>
      <w:r>
        <w:rPr>
          <w:rFonts w:eastAsia="Arial" w:cs="Arial"/>
          <w:sz w:val="22"/>
          <w:szCs w:val="22"/>
        </w:rPr>
        <w:t>Equality queries on deterministically encrypted columns (same plaintext always produces same ciphertext). Note: deterministic encryption leaks frequency distribution and is appropriate only for low-sensitivity columns.</w:t>
      </w:r>
    </w:p>
    <w:p>
      <w:pPr>
        <w:pStyle w:val="ListParagraph"/>
        <w:numPr>
          <w:ilvl w:val="0"/>
          <w:numId w:val="1"/>
        </w:numPr>
        <w:spacing w:before="0" w:after="60"/>
        <w:rPr/>
      </w:pPr>
      <w:r>
        <w:rPr>
          <w:rFonts w:eastAsia="Arial" w:cs="Arial"/>
          <w:sz w:val="22"/>
          <w:szCs w:val="22"/>
        </w:rPr>
        <w:t>Range queries through order-preserving encryption (OPE) for non-sensitive ordering. OPE leaks ordering information and is appropriate only for columns where the order is not itself sensitive.</w:t>
      </w:r>
    </w:p>
    <w:p>
      <w:pPr>
        <w:pStyle w:val="ListParagraph"/>
        <w:numPr>
          <w:ilvl w:val="0"/>
          <w:numId w:val="1"/>
        </w:numPr>
        <w:spacing w:before="0" w:after="60"/>
        <w:rPr/>
      </w:pPr>
      <w:r>
        <w:rPr>
          <w:rFonts w:eastAsia="Arial" w:cs="Arial"/>
          <w:sz w:val="22"/>
          <w:szCs w:val="22"/>
        </w:rPr>
        <w:t>Full-text search through encrypted search indexes (using searchable symmetric encryption). The index reveals access patterns but not plaintext.</w:t>
      </w:r>
    </w:p>
    <w:p>
      <w:pPr>
        <w:pStyle w:val="ListParagraph"/>
        <w:numPr>
          <w:ilvl w:val="0"/>
          <w:numId w:val="1"/>
        </w:numPr>
        <w:spacing w:before="0" w:after="60"/>
        <w:rPr/>
      </w:pPr>
      <w:r>
        <w:rPr>
          <w:rFonts w:eastAsia="Arial" w:cs="Arial"/>
          <w:sz w:val="22"/>
          <w:szCs w:val="22"/>
        </w:rPr>
        <w:t>For high-sensitivity columns, queries are performed in the runtime (decryption in memory, filter in memory, return results). This is slower but reveals nothing to the database engine.</w:t>
      </w:r>
    </w:p>
    <w:p>
      <w:pPr>
        <w:pStyle w:val="Normal"/>
        <w:rPr/>
      </w:pPr>
      <w:r>
        <w:rPr/>
      </w:r>
      <w:r>
        <w:br w:type="page"/>
      </w:r>
    </w:p>
    <w:p>
      <w:pPr>
        <w:pStyle w:val="Heading1"/>
        <w:spacing w:before="0" w:after="200"/>
        <w:rPr/>
      </w:pPr>
      <w:r>
        <w:rPr>
          <w:rFonts w:eastAsia="Arial" w:cs="Arial" w:ascii="Arial" w:hAnsi="Arial"/>
        </w:rPr>
        <w:t>3. Cloud Coordination</w:t>
      </w:r>
    </w:p>
    <w:p>
      <w:pPr>
        <w:pStyle w:val="Heading2"/>
        <w:rPr/>
      </w:pPr>
      <w:r>
        <w:rPr>
          <w:rFonts w:eastAsia="Arial" w:cs="Arial" w:ascii="Arial" w:hAnsi="Arial"/>
        </w:rPr>
        <w:t>3.1 Bonafide Cloud</w:t>
      </w:r>
    </w:p>
    <w:p>
      <w:pPr>
        <w:pStyle w:val="Normal"/>
        <w:spacing w:before="0" w:after="140"/>
        <w:rPr/>
      </w:pPr>
      <w:r>
        <w:rPr>
          <w:rFonts w:eastAsia="Arial" w:cs="Arial"/>
          <w:sz w:val="22"/>
          <w:szCs w:val="22"/>
        </w:rPr>
        <w:t>Bonafide Cloud is a managed service that provides the coordination layer for the Bonafide network. It handles validator orchestration, federation routing, relay management, certificate authority operations, and trust score computation. Bonafide Cloud is operated by Sly Technologies in Phase 1 and transitions to Foundation operation in Phase 2.</w:t>
      </w:r>
    </w:p>
    <w:p>
      <w:pPr>
        <w:pStyle w:val="Heading2"/>
        <w:rPr/>
      </w:pPr>
      <w:r>
        <w:rPr>
          <w:rFonts w:eastAsia="Arial" w:cs="Arial" w:ascii="Arial" w:hAnsi="Arial"/>
        </w:rPr>
        <w:t>3.2 Cloud Components</w:t>
      </w:r>
    </w:p>
    <w:tbl>
      <w:tblPr>
        <w:tblW w:w="9360" w:type="dxa"/>
        <w:jc w:val="start"/>
        <w:tblInd w:w="0" w:type="dxa"/>
        <w:tblLayout w:type="fixed"/>
        <w:tblCellMar>
          <w:top w:w="80" w:type="dxa"/>
          <w:start w:w="120" w:type="dxa"/>
          <w:bottom w:w="80" w:type="dxa"/>
          <w:end w:w="120" w:type="dxa"/>
        </w:tblCellMar>
      </w:tblPr>
      <w:tblGrid>
        <w:gridCol w:w="1799"/>
        <w:gridCol w:w="3801"/>
        <w:gridCol w:w="3760"/>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Component</w:t>
            </w:r>
          </w:p>
        </w:tc>
        <w:tc>
          <w:tcPr>
            <w:tcW w:w="38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Function</w:t>
            </w:r>
          </w:p>
        </w:tc>
        <w:tc>
          <w:tcPr>
            <w:tcW w:w="37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Availability</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api.bonafide.id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API gateway for all network operations. Tiered authentication, rate limiting, request routing.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Multi-region, anycast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val.bonafide.id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Validator coordination. Committee selection, consensus orchestration, trust score computation.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Multi-region, redundant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fed.bonafide.id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Federation layer. Cross-region sync, institutional peering coordination.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Multi-region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relay.bonafide.id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coordination. Proxy address management, relay operator routing.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Multi-region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ca.bonafide.id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Certificate authority. Device certificates, institutional certificates, validator certificates.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High-security, HSM-backed</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ledger.bonafide.id</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 service. Merkle root publication, ledger verification endpoints.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Multi-region, append-only</w:t>
            </w:r>
          </w:p>
        </w:tc>
      </w:tr>
    </w:tbl>
    <w:p>
      <w:pPr>
        <w:pStyle w:val="Normal"/>
        <w:spacing w:before="0" w:after="100"/>
        <w:rPr/>
      </w:pPr>
      <w:r>
        <w:rPr/>
      </w:r>
    </w:p>
    <w:p>
      <w:pPr>
        <w:pStyle w:val="Heading2"/>
        <w:rPr/>
      </w:pPr>
      <w:r>
        <w:rPr>
          <w:rFonts w:eastAsia="Arial" w:cs="Arial" w:ascii="Arial" w:hAnsi="Arial"/>
        </w:rPr>
        <w:t>3.3 Cloud Independence</w:t>
      </w:r>
    </w:p>
    <w:p>
      <w:pPr>
        <w:pStyle w:val="Normal"/>
        <w:spacing w:before="0" w:after="140"/>
        <w:rPr/>
      </w:pPr>
      <w:r>
        <w:rPr>
          <w:rFonts w:eastAsia="Arial" w:cs="Arial"/>
          <w:sz w:val="22"/>
          <w:szCs w:val="22"/>
        </w:rPr>
        <w:t>Bonafide Cloud is a convenience, not a dependency. The specification defines all protocols such that a fully self-hosted deployment is possible without using any Bonafide Cloud services. An institution can operate its own API gateway, run its own validator nodes, manage its own certificates, and maintain its own ledger. Bonafide Cloud provides the managed infrastructure for organizations that prefer not to operate their own.</w:t>
      </w:r>
    </w:p>
    <w:p>
      <w:pPr>
        <w:pStyle w:val="Normal"/>
        <w:rPr/>
      </w:pPr>
      <w:r>
        <w:rPr/>
      </w:r>
      <w:r>
        <w:br w:type="page"/>
      </w:r>
    </w:p>
    <w:p>
      <w:pPr>
        <w:pStyle w:val="Heading1"/>
        <w:spacing w:before="0" w:after="200"/>
        <w:rPr/>
      </w:pPr>
      <w:r>
        <w:rPr>
          <w:rFonts w:eastAsia="Arial" w:cs="Arial" w:ascii="Arial" w:hAnsi="Arial"/>
        </w:rPr>
        <w:t>4. ExaScale Integration</w:t>
      </w:r>
    </w:p>
    <w:p>
      <w:pPr>
        <w:pStyle w:val="Heading2"/>
        <w:rPr/>
      </w:pPr>
      <w:r>
        <w:rPr>
          <w:rFonts w:eastAsia="Arial" w:cs="Arial" w:ascii="Arial" w:hAnsi="Arial"/>
        </w:rPr>
        <w:t>4.1 ExaScale as First Adopter</w:t>
      </w:r>
    </w:p>
    <w:p>
      <w:pPr>
        <w:pStyle w:val="Normal"/>
        <w:spacing w:before="0" w:after="140"/>
        <w:rPr/>
      </w:pPr>
      <w:r>
        <w:rPr>
          <w:rFonts w:eastAsia="Arial" w:cs="Arial"/>
          <w:sz w:val="22"/>
          <w:szCs w:val="22"/>
        </w:rPr>
        <w:t>Sly Technologies’ ExaScale™ platform is the first production deployment of the Bonafide specification. ExaScale provides high-performance data infrastructure for telecommunications, banking, and defense customers. Bonafide is integrated into ExaScale as the data sovereignty layer.</w:t>
      </w:r>
    </w:p>
    <w:p>
      <w:pPr>
        <w:pStyle w:val="Heading2"/>
        <w:rPr/>
      </w:pPr>
      <w:r>
        <w:rPr>
          <w:rFonts w:eastAsia="Arial" w:cs="Arial" w:ascii="Arial" w:hAnsi="Arial"/>
        </w:rPr>
        <w:t>4.2 Sovereignty Sidecar</w:t>
      </w:r>
    </w:p>
    <w:p>
      <w:pPr>
        <w:pStyle w:val="Normal"/>
        <w:spacing w:before="0" w:after="140"/>
        <w:rPr/>
      </w:pPr>
      <w:r>
        <w:rPr>
          <w:rFonts w:eastAsia="Arial" w:cs="Arial"/>
          <w:sz w:val="22"/>
          <w:szCs w:val="22"/>
        </w:rPr>
        <w:t>The ExaScale Sovereignty Sidecar is the migration path for existing ExaScale deployments. The sidecar sits alongside existing ExaScale data pipelines and transparently encrypts data into Bonafide vault format. Existing applications continue to operate normally; the sidecar intercepts data flows and applies per-quantum encryption, key management, and audit logging.</w:t>
      </w:r>
    </w:p>
    <w:p>
      <w:pPr>
        <w:pStyle w:val="Normal"/>
        <w:spacing w:before="0" w:after="140"/>
        <w:rPr/>
      </w:pPr>
      <w:r>
        <w:rPr>
          <w:rFonts w:eastAsia="Arial" w:cs="Arial"/>
          <w:sz w:val="22"/>
          <w:szCs w:val="22"/>
        </w:rPr>
        <w:t>The sidecar approach enables adoption without application rewrite: the institution’s existing ExaScale deployment gains Bonafide protection incrementally, one data stream at a time.</w:t>
      </w:r>
    </w:p>
    <w:p>
      <w:pPr>
        <w:pStyle w:val="Heading2"/>
        <w:rPr/>
      </w:pPr>
      <w:r>
        <w:rPr>
          <w:rFonts w:eastAsia="Arial" w:cs="Arial" w:ascii="Arial" w:hAnsi="Arial"/>
        </w:rPr>
        <w:t>4.3 ExaForge Hardware Acceleration</w:t>
      </w:r>
    </w:p>
    <w:p>
      <w:pPr>
        <w:pStyle w:val="Normal"/>
        <w:spacing w:before="0" w:after="140"/>
        <w:rPr/>
      </w:pPr>
      <w:r>
        <w:rPr>
          <w:rFonts w:eastAsia="Arial" w:cs="Arial"/>
          <w:sz w:val="22"/>
          <w:szCs w:val="22"/>
        </w:rPr>
        <w:t>ExaScale’s ExaForge FPGA provides the Classification S enclave for Bonafide operations:</w:t>
      </w:r>
    </w:p>
    <w:p>
      <w:pPr>
        <w:pStyle w:val="ListParagraph"/>
        <w:numPr>
          <w:ilvl w:val="0"/>
          <w:numId w:val="1"/>
        </w:numPr>
        <w:spacing w:before="0" w:after="60"/>
        <w:rPr/>
      </w:pPr>
      <w:r>
        <w:rPr>
          <w:rFonts w:eastAsia="Arial" w:cs="Arial"/>
          <w:sz w:val="22"/>
          <w:szCs w:val="22"/>
        </w:rPr>
        <w:t>PUF-based key storage: institutional master keys stored in FPGA physically unclonable function, non-extractable.</w:t>
      </w:r>
    </w:p>
    <w:p>
      <w:pPr>
        <w:pStyle w:val="ListParagraph"/>
        <w:numPr>
          <w:ilvl w:val="0"/>
          <w:numId w:val="1"/>
        </w:numPr>
        <w:spacing w:before="0" w:after="60"/>
        <w:rPr/>
      </w:pPr>
      <w:r>
        <w:rPr>
          <w:rFonts w:eastAsia="Arial" w:cs="Arial"/>
          <w:sz w:val="22"/>
          <w:szCs w:val="22"/>
        </w:rPr>
        <w:t>In-fabric AES-256-GCM: quantum encryption and decryption at line rate within FPGA fabric.</w:t>
      </w:r>
    </w:p>
    <w:p>
      <w:pPr>
        <w:pStyle w:val="ListParagraph"/>
        <w:numPr>
          <w:ilvl w:val="0"/>
          <w:numId w:val="1"/>
        </w:numPr>
        <w:spacing w:before="0" w:after="60"/>
        <w:rPr/>
      </w:pPr>
      <w:r>
        <w:rPr>
          <w:rFonts w:eastAsia="Arial" w:cs="Arial"/>
          <w:sz w:val="22"/>
          <w:szCs w:val="22"/>
        </w:rPr>
        <w:t>In-fabric HKDF: key derivation without keys leaving the fabric.</w:t>
      </w:r>
    </w:p>
    <w:p>
      <w:pPr>
        <w:pStyle w:val="ListParagraph"/>
        <w:numPr>
          <w:ilvl w:val="0"/>
          <w:numId w:val="1"/>
        </w:numPr>
        <w:spacing w:before="0" w:after="60"/>
        <w:rPr/>
      </w:pPr>
      <w:r>
        <w:rPr>
          <w:rFonts w:eastAsia="Arial" w:cs="Arial"/>
          <w:sz w:val="22"/>
          <w:szCs w:val="22"/>
        </w:rPr>
        <w:t>In-fabric ZK proof generation: proof generation within hardware isolation.</w:t>
      </w:r>
    </w:p>
    <w:p>
      <w:pPr>
        <w:pStyle w:val="ListParagraph"/>
        <w:numPr>
          <w:ilvl w:val="0"/>
          <w:numId w:val="1"/>
        </w:numPr>
        <w:spacing w:before="0" w:after="60"/>
        <w:rPr/>
      </w:pPr>
      <w:r>
        <w:rPr>
          <w:rFonts w:eastAsia="Arial" w:cs="Arial"/>
          <w:sz w:val="22"/>
          <w:szCs w:val="22"/>
        </w:rPr>
        <w:t>In-fabric TLS termination: unauthorized connections rejected at wire speed, CPU never sees rejected handshakes.</w:t>
      </w:r>
    </w:p>
    <w:p>
      <w:pPr>
        <w:pStyle w:val="ListParagraph"/>
        <w:numPr>
          <w:ilvl w:val="0"/>
          <w:numId w:val="1"/>
        </w:numPr>
        <w:spacing w:before="0" w:after="60"/>
        <w:rPr/>
      </w:pPr>
      <w:r>
        <w:rPr>
          <w:rFonts w:eastAsia="Arial" w:cs="Arial"/>
          <w:sz w:val="22"/>
          <w:szCs w:val="22"/>
        </w:rPr>
        <w:t>Side-channel hardened: constant-time operations, power analysis resistance, fault injection detection.</w:t>
      </w:r>
    </w:p>
    <w:p>
      <w:pPr>
        <w:pStyle w:val="Heading2"/>
        <w:rPr/>
      </w:pPr>
      <w:r>
        <w:rPr>
          <w:rFonts w:eastAsia="Arial" w:cs="Arial" w:ascii="Arial" w:hAnsi="Arial"/>
        </w:rPr>
        <w:t>4.4 ExaScale and Bonafide Independence</w:t>
      </w:r>
    </w:p>
    <w:p>
      <w:pPr>
        <w:pStyle w:val="Normal"/>
        <w:spacing w:before="0" w:after="140"/>
        <w:rPr/>
      </w:pPr>
      <w:r>
        <w:rPr>
          <w:rFonts w:eastAsia="Arial" w:cs="Arial"/>
          <w:sz w:val="22"/>
          <w:szCs w:val="22"/>
        </w:rPr>
        <w:t>ExaScale is a Bonafide deployment, not Bonafide itself. The specification is independent of ExaScale. Any hardware vendor can implement Classification S with equivalent FPGA or secure processor capabilities. ExaScale’s advantage is that it exists today and is deployed in production; the specification ensures competitors can emerge.</w:t>
      </w:r>
    </w:p>
    <w:p>
      <w:pPr>
        <w:pStyle w:val="Normal"/>
        <w:rPr/>
      </w:pPr>
      <w:r>
        <w:rPr/>
      </w:r>
      <w:r>
        <w:br w:type="page"/>
      </w:r>
    </w:p>
    <w:p>
      <w:pPr>
        <w:pStyle w:val="Heading1"/>
        <w:spacing w:before="0" w:after="200"/>
        <w:rPr/>
      </w:pPr>
      <w:r>
        <w:rPr>
          <w:rFonts w:eastAsia="Arial" w:cs="Arial" w:ascii="Arial" w:hAnsi="Arial"/>
        </w:rPr>
        <w:t>5. Namespace Infrastructure</w:t>
      </w:r>
    </w:p>
    <w:p>
      <w:pPr>
        <w:pStyle w:val="Heading2"/>
        <w:rPr/>
      </w:pPr>
      <w:r>
        <w:rPr>
          <w:rFonts w:eastAsia="Arial" w:cs="Arial" w:ascii="Arial" w:hAnsi="Arial"/>
        </w:rPr>
        <w:t>5.1 Domain Architecture</w:t>
      </w:r>
    </w:p>
    <w:tbl>
      <w:tblPr>
        <w:tblW w:w="9360" w:type="dxa"/>
        <w:jc w:val="start"/>
        <w:tblInd w:w="0" w:type="dxa"/>
        <w:tblLayout w:type="fixed"/>
        <w:tblCellMar>
          <w:top w:w="80" w:type="dxa"/>
          <w:start w:w="120" w:type="dxa"/>
          <w:bottom w:w="80" w:type="dxa"/>
          <w:end w:w="120" w:type="dxa"/>
        </w:tblCellMar>
      </w:tblPr>
      <w:tblGrid>
        <w:gridCol w:w="2000"/>
        <w:gridCol w:w="5199"/>
        <w:gridCol w:w="2161"/>
      </w:tblGrid>
      <w:tr>
        <w:trPr/>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Domain</w:t>
            </w:r>
          </w:p>
        </w:tc>
        <w:tc>
          <w:tcPr>
            <w:tcW w:w="5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Purpose</w:t>
            </w:r>
          </w:p>
        </w:tc>
        <w:tc>
          <w:tcPr>
            <w:tcW w:w="21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Phase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bonafide.id</w:t>
            </w:r>
          </w:p>
        </w:tc>
        <w:tc>
          <w:tcPr>
            <w:tcW w:w="5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Network infrastructure, API, services, user-facing namespace</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Phase 1 (active)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bonafideid.org</w:t>
            </w:r>
          </w:p>
        </w:tc>
        <w:tc>
          <w:tcPr>
            <w:tcW w:w="5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Specification, governance, certification, community, documentation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Phase 2 (Foundation)</w:t>
            </w:r>
          </w:p>
        </w:tc>
      </w:tr>
    </w:tbl>
    <w:p>
      <w:pPr>
        <w:pStyle w:val="Normal"/>
        <w:spacing w:before="0" w:after="100"/>
        <w:rPr/>
      </w:pPr>
      <w:r>
        <w:rPr/>
      </w:r>
    </w:p>
    <w:p>
      <w:pPr>
        <w:pStyle w:val="Heading2"/>
        <w:rPr/>
      </w:pPr>
      <w:r>
        <w:rPr>
          <w:rFonts w:eastAsia="Arial" w:cs="Arial" w:ascii="Arial" w:hAnsi="Arial"/>
        </w:rPr>
        <w:t>5.2 Service Namespace Zones</w:t>
      </w:r>
    </w:p>
    <w:p>
      <w:pPr>
        <w:pStyle w:val="Normal"/>
        <w:spacing w:before="0" w:after="140"/>
        <w:rPr/>
      </w:pPr>
      <w:r>
        <w:rPr>
          <w:rFonts w:eastAsia="Arial" w:cs="Arial"/>
          <w:sz w:val="22"/>
          <w:szCs w:val="22"/>
        </w:rPr>
        <w:t>The bonafide.id domain is organized into service zones:</w:t>
      </w:r>
    </w:p>
    <w:tbl>
      <w:tblPr>
        <w:tblW w:w="9360" w:type="dxa"/>
        <w:jc w:val="start"/>
        <w:tblInd w:w="0" w:type="dxa"/>
        <w:tblLayout w:type="fixed"/>
        <w:tblCellMar>
          <w:top w:w="80" w:type="dxa"/>
          <w:start w:w="120" w:type="dxa"/>
          <w:bottom w:w="80" w:type="dxa"/>
          <w:end w:w="120" w:type="dxa"/>
        </w:tblCellMar>
      </w:tblPr>
      <w:tblGrid>
        <w:gridCol w:w="2000"/>
        <w:gridCol w:w="2400"/>
        <w:gridCol w:w="4960"/>
      </w:tblGrid>
      <w:tr>
        <w:trPr/>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Zone</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Purpose</w:t>
            </w:r>
          </w:p>
        </w:tc>
        <w:tc>
          <w:tcPr>
            <w:tcW w:w="49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Examples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api.bonafide.id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Core API endpoints</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Authentication, vault operations, key generation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Validator network</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Consensus, trust scoring, proof verification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fed.bonafide.id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Federation layer</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Cross-region sync, peering coordination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services</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Email proxy, phone proxy, address proxy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ca.bonafide.id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Certificate authority</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Device certs, institutional certs, validator certs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 service</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Merkle root publication, verification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docs.bonafide.id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Documentation</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Specification, API reference, implementation guides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*.vault.bonafide.id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 vault subdomains (optional)</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Personal vault namespace for direct addressing</w:t>
            </w:r>
          </w:p>
        </w:tc>
      </w:tr>
    </w:tbl>
    <w:p>
      <w:pPr>
        <w:pStyle w:val="Normal"/>
        <w:spacing w:before="0" w:after="100"/>
        <w:rPr/>
      </w:pPr>
      <w:r>
        <w:rPr/>
      </w:r>
    </w:p>
    <w:p>
      <w:pPr>
        <w:pStyle w:val="Heading2"/>
        <w:rPr/>
      </w:pPr>
      <w:r>
        <w:rPr>
          <w:rFonts w:eastAsia="Arial" w:cs="Arial" w:ascii="Arial" w:hAnsi="Arial"/>
        </w:rPr>
        <w:t>5.3 Institutional Subdomains</w:t>
      </w:r>
    </w:p>
    <w:p>
      <w:pPr>
        <w:pStyle w:val="Normal"/>
        <w:spacing w:before="0" w:after="140"/>
        <w:rPr/>
      </w:pPr>
      <w:r>
        <w:rPr>
          <w:rFonts w:eastAsia="Arial" w:cs="Arial"/>
          <w:sz w:val="22"/>
          <w:szCs w:val="22"/>
        </w:rPr>
        <w:t>Institutions deploying Bonafide can optionally register institutional subdomains under bonafide.id (e.g., chase.bonafide.id) for service discovery and trust signaling. Institutional subdomain registration requires certification (Part 8) and verification of the institution’s legal identity. Subdomain registration is a revenue source for ecosystem sustainability.</w:t>
      </w:r>
    </w:p>
    <w:p>
      <w:pPr>
        <w:pStyle w:val="Normal"/>
        <w:rPr/>
      </w:pPr>
      <w:r>
        <w:rPr/>
        <w:t>The .id suffix used throughout the Bonafide namespace is formalized in Part 15 as a protocol namespace marker — not a DNS domain and not an email domain. Addresses ending in .id resolve through the Bonafide validator network, analogous to how .onion addresses resolve through Tor rather than through ICANN. The address grammar (@name:namespace+pin[qualifiers].id) defined in Part 15 operates within the namespace infrastructure defined here. Service zones (api.bonafide.id, val.bonafide.id) remain DNS-resolved infrastructure endpoints; identity addresses (@alice.id) are protocol-resolved through the validator network.</w:t>
      </w:r>
      <w:r>
        <w:br w:type="page"/>
      </w:r>
    </w:p>
    <w:p>
      <w:pPr>
        <w:pStyle w:val="Heading1"/>
        <w:spacing w:before="0" w:after="200"/>
        <w:rPr/>
      </w:pPr>
      <w:r>
        <w:rPr>
          <w:rFonts w:eastAsia="Arial" w:cs="Arial" w:ascii="Arial" w:hAnsi="Arial"/>
        </w:rPr>
        <w:t>6. Product Portfolio</w:t>
      </w:r>
    </w:p>
    <w:p>
      <w:pPr>
        <w:pStyle w:val="Normal"/>
        <w:spacing w:before="0" w:after="140"/>
        <w:rPr/>
      </w:pPr>
      <w:r>
        <w:rPr>
          <w:rFonts w:eastAsia="Arial" w:cs="Arial"/>
          <w:sz w:val="22"/>
          <w:szCs w:val="22"/>
        </w:rPr>
        <w:t>The Bonafide ecosystem produces the following product categories. Some are developed by Sly Technologies (Phase 1); others are open for third-party implementation.</w:t>
      </w:r>
    </w:p>
    <w:tbl>
      <w:tblPr>
        <w:tblW w:w="9360" w:type="dxa"/>
        <w:jc w:val="start"/>
        <w:tblInd w:w="0" w:type="dxa"/>
        <w:tblLayout w:type="fixed"/>
        <w:tblCellMar>
          <w:top w:w="80" w:type="dxa"/>
          <w:start w:w="120" w:type="dxa"/>
          <w:bottom w:w="80" w:type="dxa"/>
          <w:end w:w="120" w:type="dxa"/>
        </w:tblCellMar>
      </w:tblPr>
      <w:tblGrid>
        <w:gridCol w:w="1599"/>
        <w:gridCol w:w="901"/>
        <w:gridCol w:w="3800"/>
        <w:gridCol w:w="3060"/>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Product</w:t>
            </w:r>
          </w:p>
        </w:tc>
        <w:tc>
          <w:tcPr>
            <w:tcW w:w="9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Type</w:t>
            </w:r>
          </w:p>
        </w:tc>
        <w:tc>
          <w:tcPr>
            <w:tcW w:w="38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Description</w:t>
            </w:r>
          </w:p>
        </w:tc>
        <w:tc>
          <w:tcPr>
            <w:tcW w:w="30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Developer</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Spec</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Document</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Canonical specification (this document, Parts 1–13)</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 Foundation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Core</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Library</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Reference implementation of vault protocol, key derivation, ledger, validation client</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DB</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Packages</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Database-native vault packages for PostgreSQL, Oracle, SQL Server, MySQL, MongoDB</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SDK</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Libraries</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Developer SDKs for JavaScript, Java, Python, Swift, Kotlin, Rust, Go, C</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Cloud</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Service</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Managed coordination infrastructure (API, validators, federation, relay, CA, ledger)</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Personal</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App</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Consumer vault application for iOS, Android, desktop, web</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Gateway</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Service</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API gateway with tiered authentication and rate limiting</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Validator</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Service</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Reference validator node implementation</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Relay</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Service</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Reference relay operator implementation</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Cert</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Tool</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Certification test suites for all compliance tiers</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 (open source)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ExaScale + Bonafide</w:t>
            </w:r>
          </w:p>
        </w:tc>
        <w:tc>
          <w:tcPr>
            <w:tcW w:w="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Product</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Integrated high-performance data platform with Classification S vault</w:t>
            </w:r>
          </w:p>
        </w:tc>
        <w:tc>
          <w:tcPr>
            <w:tcW w:w="30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Sly Technologies</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7. Revenue Model</w:t>
      </w:r>
    </w:p>
    <w:p>
      <w:pPr>
        <w:pStyle w:val="Heading2"/>
        <w:rPr/>
      </w:pPr>
      <w:r>
        <w:rPr>
          <w:rFonts w:eastAsia="Arial" w:cs="Arial" w:ascii="Arial" w:hAnsi="Arial"/>
        </w:rPr>
        <w:t>7.1 Sustainability Principle</w:t>
      </w:r>
    </w:p>
    <w:p>
      <w:pPr>
        <w:pStyle w:val="Normal"/>
        <w:spacing w:before="0" w:after="140"/>
        <w:rPr/>
      </w:pPr>
      <w:r>
        <w:rPr>
          <w:rFonts w:eastAsia="Arial" w:cs="Arial"/>
          <w:sz w:val="22"/>
          <w:szCs w:val="22"/>
        </w:rPr>
        <w:t>Bonafide is a privacy-first ecosystem that is commercially sustainable, not a commercial product that happens to have privacy features. The specification is free. Reference implementations are open source. Revenue comes from services, certification, and premium products—not from the protocol itself.</w:t>
      </w:r>
    </w:p>
    <w:p>
      <w:pPr>
        <w:pStyle w:val="Heading2"/>
        <w:rPr/>
      </w:pPr>
      <w:r>
        <w:rPr>
          <w:rFonts w:eastAsia="Arial" w:cs="Arial" w:ascii="Arial" w:hAnsi="Arial"/>
        </w:rPr>
        <w:t>7.2 Revenue Sources</w:t>
      </w:r>
    </w:p>
    <w:tbl>
      <w:tblPr>
        <w:tblW w:w="9360" w:type="dxa"/>
        <w:jc w:val="start"/>
        <w:tblInd w:w="0" w:type="dxa"/>
        <w:tblLayout w:type="fixed"/>
        <w:tblCellMar>
          <w:top w:w="80" w:type="dxa"/>
          <w:start w:w="120" w:type="dxa"/>
          <w:bottom w:w="80" w:type="dxa"/>
          <w:end w:w="120" w:type="dxa"/>
        </w:tblCellMar>
      </w:tblPr>
      <w:tblGrid>
        <w:gridCol w:w="2199"/>
        <w:gridCol w:w="4201"/>
        <w:gridCol w:w="2960"/>
      </w:tblGrid>
      <w:tr>
        <w:trPr/>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Source</w:t>
            </w:r>
          </w:p>
        </w:tc>
        <w:tc>
          <w:tcPr>
            <w:tcW w:w="4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Description</w:t>
            </w:r>
          </w:p>
        </w:tc>
        <w:tc>
          <w:tcPr>
            <w:tcW w:w="29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Payer</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Cloud subscriptions</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Managed infrastructure for institutions that prefer not to self-host</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ExaScale integration</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Classification S hardware + Bonafide integration for enterprise customers</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Personal (premium)</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Consumer vault app with advanced features (extended sharing, multi-persona, priority relay)</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Users (freemium model)</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Certification fees</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Certified program for validators, relay operators, hardware vendors, institutions</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Ecosystem participants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subdomain registration</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Branded subdomains under bonafide.id</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Foundation membership</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Phase 2+ governance participation with voting rights</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 and organizations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Validator fees</w:t>
            </w:r>
          </w:p>
        </w:tc>
        <w:tc>
          <w:tcPr>
            <w:tcW w:w="4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Transaction fees for validation operations (paid to validators, network takes percentage)</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Operations volume</w:t>
            </w:r>
          </w:p>
        </w:tc>
      </w:tr>
    </w:tbl>
    <w:p>
      <w:pPr>
        <w:pStyle w:val="Normal"/>
        <w:spacing w:before="0" w:after="100"/>
        <w:rPr/>
      </w:pPr>
      <w:r>
        <w:rPr/>
      </w:r>
    </w:p>
    <w:p>
      <w:pPr>
        <w:pStyle w:val="Heading2"/>
        <w:rPr/>
      </w:pPr>
      <w:r>
        <w:rPr>
          <w:rFonts w:eastAsia="Arial" w:cs="Arial" w:ascii="Arial" w:hAnsi="Arial"/>
        </w:rPr>
        <w:t>7.3 What Is Never a Revenue Source</w:t>
      </w:r>
    </w:p>
    <w:p>
      <w:pPr>
        <w:pStyle w:val="ListParagraph"/>
        <w:numPr>
          <w:ilvl w:val="0"/>
          <w:numId w:val="1"/>
        </w:numPr>
        <w:spacing w:before="0" w:after="60"/>
        <w:rPr/>
      </w:pPr>
      <w:r>
        <w:rPr>
          <w:rFonts w:eastAsia="Arial" w:cs="Arial"/>
          <w:sz w:val="22"/>
          <w:szCs w:val="22"/>
        </w:rPr>
        <w:t>User data. Bonafide never monetizes user data, metadata, or behavioral analytics. This is architectural—the network cannot see the data it protects.</w:t>
      </w:r>
    </w:p>
    <w:p>
      <w:pPr>
        <w:pStyle w:val="ListParagraph"/>
        <w:numPr>
          <w:ilvl w:val="0"/>
          <w:numId w:val="1"/>
        </w:numPr>
        <w:spacing w:before="0" w:after="60"/>
        <w:rPr/>
      </w:pPr>
      <w:r>
        <w:rPr>
          <w:rFonts w:eastAsia="Arial" w:cs="Arial"/>
          <w:sz w:val="22"/>
          <w:szCs w:val="22"/>
        </w:rPr>
        <w:t>Advertising. Bonafide products do not display ads or sell attention.</w:t>
      </w:r>
    </w:p>
    <w:p>
      <w:pPr>
        <w:pStyle w:val="ListParagraph"/>
        <w:numPr>
          <w:ilvl w:val="0"/>
          <w:numId w:val="1"/>
        </w:numPr>
        <w:spacing w:before="0" w:after="60"/>
        <w:rPr/>
      </w:pPr>
      <w:r>
        <w:rPr>
          <w:rFonts w:eastAsia="Arial" w:cs="Arial"/>
          <w:sz w:val="22"/>
          <w:szCs w:val="22"/>
        </w:rPr>
        <w:t>Protocol licensing. The specification is free and open. No one pays to implement it.</w:t>
      </w:r>
    </w:p>
    <w:p>
      <w:pPr>
        <w:pStyle w:val="ListParagraph"/>
        <w:numPr>
          <w:ilvl w:val="0"/>
          <w:numId w:val="1"/>
        </w:numPr>
        <w:spacing w:before="0" w:after="60"/>
        <w:rPr/>
      </w:pPr>
      <w:r>
        <w:rPr>
          <w:rFonts w:eastAsia="Arial" w:cs="Arial"/>
          <w:sz w:val="22"/>
          <w:szCs w:val="22"/>
        </w:rPr>
        <w:t>Data brokerage. Bonafide exists to prevent data brokerage, not to participate in it.</w:t>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LibreOffice/25.8.6.2$Linux_X86_64 LibreOffice_project/a46b460d1686bb49c718d2ef5f88b83ff2dc4981</Application>
  <AppVersion>15.0000</AppVersion>
  <Pages>8</Pages>
  <Words>1562</Words>
  <Characters>10896</Characters>
  <CharactersWithSpaces>12231</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2026-02-19T19:16:52Z</dcterms:created>
  <dc:creator>Un-named</dc:creator>
  <dc:description/>
  <dc:language>en-US</dc:language>
  <cp:lastModifiedBy>Mark Bednarczyk</cp:lastModifiedBy>
  <dcterms:modified xsi:type="dcterms:W3CDTF">2026-03-30T19:05:57Z</dcterms:modified>
  <cp:revision>2</cp:revision>
  <dc:subject/>
  <dc:title/>
</cp:coreProperties>
</file>