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start"/>
        <w:rPr/>
      </w:pPr>
      <w:r>
        <w:rPr>
          <w:rFonts w:eastAsia="Arial" w:cs="Arial"/>
          <w:b/>
          <w:bCs/>
          <w:color w:val="1B2A4A"/>
          <w:sz w:val="28"/>
          <w:szCs w:val="28"/>
        </w:rPr>
        <w:t>BONAFIDE™ SPECIFICATION V1.0 — PART 14</w:t>
      </w:r>
    </w:p>
    <w:p>
      <w:pPr>
        <w:pStyle w:val="Normal"/>
        <w:spacing w:before="0" w:after="40"/>
        <w:jc w:val="start"/>
        <w:rPr/>
      </w:pPr>
      <w:r>
        <w:rPr>
          <w:rFonts w:eastAsia="Arial" w:cs="Arial"/>
          <w:b/>
          <w:bCs/>
          <w:color w:val="1B2A4A"/>
          <w:sz w:val="36"/>
          <w:szCs w:val="36"/>
        </w:rPr>
        <w:t>Institutional Branches, Leases &amp; Policy</w:t>
      </w:r>
    </w:p>
    <w:p>
      <w:pPr>
        <w:pStyle w:val="Normal"/>
        <w:spacing w:before="0" w:after="300"/>
        <w:jc w:val="start"/>
        <w:rPr/>
      </w:pPr>
      <w:r>
        <w:rPr>
          <w:rFonts w:eastAsia="Arial" w:cs="Arial"/>
          <w:i/>
          <w:iCs/>
          <w:color w:val="666666"/>
          <w:sz w:val="22"/>
          <w:szCs w:val="22"/>
        </w:rPr>
        <w:t>Lease-based institutional access, machine-executable branch policy, institutional transfer protocol, policy immutability, and user-consented retention</w:t>
      </w:r>
    </w:p>
    <w:p>
      <w:pPr>
        <w:pStyle w:val="Heading1"/>
        <w:spacing w:before="400" w:after="200"/>
        <w:rPr/>
      </w:pPr>
      <w:r>
        <w:rPr>
          <w:rFonts w:eastAsia="Arial" w:cs="Arial" w:ascii="Arial" w:hAnsi="Arial"/>
          <w:b/>
          <w:bCs/>
          <w:color w:val="1B2A4A"/>
          <w:sz w:val="32"/>
          <w:szCs w:val="32"/>
        </w:rPr>
        <w:t>1. Purpose</w:t>
      </w:r>
    </w:p>
    <w:p>
      <w:pPr>
        <w:pStyle w:val="Normal"/>
        <w:spacing w:before="0" w:after="160"/>
        <w:rPr/>
      </w:pPr>
      <w:r>
        <w:rPr>
          <w:rFonts w:eastAsia="Arial" w:cs="Arial"/>
          <w:color w:val="333333"/>
          <w:sz w:val="22"/>
          <w:szCs w:val="22"/>
        </w:rPr>
        <w:t>This part defines the protocol for institutional branch lifecycle management: how institutions gain access to user vault data, what governs that access, how access changes over time, and what happens when a relationship ends or transfers to another institution.</w:t>
      </w:r>
    </w:p>
    <w:p>
      <w:pPr>
        <w:pStyle w:val="Normal"/>
        <w:spacing w:before="0" w:after="160"/>
        <w:rPr/>
      </w:pPr>
      <w:r>
        <w:rPr>
          <w:rFonts w:eastAsia="Arial" w:cs="Arial"/>
          <w:color w:val="333333"/>
          <w:sz w:val="22"/>
          <w:szCs w:val="22"/>
        </w:rPr>
        <w:t>The specification adds five protocol-level mechanisms: lease-based institutional access (replacing persistent keys), machine-executable branch policy (the governing contract for each branch), a transfer protocol for institutional changes, policy immutability (protecting users from unilateral term changes), and user-consented retention (ensuring the protocol never overrides the user's original consent).</w:t>
      </w:r>
    </w:p>
    <w:p>
      <w:pPr>
        <w:pStyle w:val="Normal"/>
        <w:spacing w:before="0" w:after="160"/>
        <w:rPr/>
      </w:pPr>
      <w:r>
        <w:rPr>
          <w:rFonts w:eastAsia="Arial" w:cs="Arial"/>
          <w:color w:val="333333"/>
          <w:sz w:val="22"/>
          <w:szCs w:val="22"/>
        </w:rPr>
        <w:t>This part does not define business logic, data taxonomies, or regulatory frameworks. It defines the protocol primitives that enable institutions and users to negotiate, enforce, and audit their data relationships.</w:t>
      </w:r>
    </w:p>
    <w:p>
      <w:pPr>
        <w:pStyle w:val="Heading1"/>
        <w:spacing w:before="400" w:after="200"/>
        <w:rPr/>
      </w:pPr>
      <w:r>
        <w:rPr>
          <w:rFonts w:eastAsia="Arial" w:cs="Arial" w:ascii="Arial" w:hAnsi="Arial"/>
          <w:b/>
          <w:bCs/>
          <w:color w:val="1B2A4A"/>
          <w:sz w:val="32"/>
          <w:szCs w:val="32"/>
        </w:rPr>
        <w:t>2. Lease-Based Institutional Access</w:t>
      </w:r>
    </w:p>
    <w:p>
      <w:pPr>
        <w:pStyle w:val="Heading2"/>
        <w:spacing w:before="300" w:after="180"/>
        <w:rPr/>
      </w:pPr>
      <w:r>
        <w:rPr>
          <w:rFonts w:eastAsia="Arial" w:cs="Arial" w:ascii="Arial" w:hAnsi="Arial"/>
          <w:b/>
          <w:bCs/>
          <w:color w:val="1B2A4A"/>
          <w:sz w:val="28"/>
          <w:szCs w:val="28"/>
        </w:rPr>
        <w:t>2.1 Principle</w:t>
      </w:r>
    </w:p>
    <w:p>
      <w:pPr>
        <w:pStyle w:val="Normal"/>
        <w:spacing w:before="0" w:after="160"/>
        <w:rPr/>
      </w:pPr>
      <w:r>
        <w:rPr>
          <w:rFonts w:eastAsia="Arial" w:cs="Arial"/>
          <w:color w:val="333333"/>
          <w:sz w:val="22"/>
          <w:szCs w:val="22"/>
        </w:rPr>
        <w:t>Institutions do not hold persistent decryption keys. Instead, institutions hold leases: time-bounded, auto-renewable decryption credentials that authorize access to specific vault quanta within a branch. A lease grants the institution the ability to decrypt data for a finite period. The lease renews automatically unless revoked by the user.</w:t>
      </w:r>
    </w:p>
    <w:p>
      <w:pPr>
        <w:pStyle w:val="Normal"/>
        <w:spacing w:before="0" w:after="160"/>
        <w:rPr/>
      </w:pPr>
      <w:r>
        <w:rPr>
          <w:rFonts w:eastAsia="Arial" w:cs="Arial"/>
          <w:color w:val="333333"/>
          <w:sz w:val="22"/>
          <w:szCs w:val="22"/>
        </w:rPr>
        <w:t>This inverts the current model where institutions receive permanent keys during peering. Leases ensure that institutional access is always finite, always auditable, and always revocable—while protecting institutions from operational disruption through automatic renewal.</w:t>
      </w:r>
    </w:p>
    <w:p>
      <w:pPr>
        <w:pStyle w:val="Heading2"/>
        <w:spacing w:before="300" w:after="180"/>
        <w:rPr/>
      </w:pPr>
      <w:r>
        <w:rPr>
          <w:rFonts w:eastAsia="Arial" w:cs="Arial" w:ascii="Arial" w:hAnsi="Arial"/>
          <w:b/>
          <w:bCs/>
          <w:color w:val="1B2A4A"/>
          <w:sz w:val="28"/>
          <w:szCs w:val="28"/>
        </w:rPr>
        <w:t>2.2 Lease Properties</w:t>
      </w:r>
    </w:p>
    <w:tbl>
      <w:tblPr>
        <w:tblW w:w="9360" w:type="dxa"/>
        <w:jc w:val="start"/>
        <w:tblInd w:w="0" w:type="dxa"/>
        <w:tblLayout w:type="fixed"/>
        <w:tblCellMar>
          <w:top w:w="60" w:type="dxa"/>
          <w:start w:w="100" w:type="dxa"/>
          <w:bottom w:w="60" w:type="dxa"/>
          <w:end w:w="100" w:type="dxa"/>
        </w:tblCellMar>
      </w:tblPr>
      <w:tblGrid>
        <w:gridCol w:w="2199"/>
        <w:gridCol w:w="7161"/>
      </w:tblGrid>
      <w:tr>
        <w:trPr/>
        <w:tc>
          <w:tcPr>
            <w:tcW w:w="2199"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Property</w:t>
            </w:r>
          </w:p>
        </w:tc>
        <w:tc>
          <w:tcPr>
            <w:tcW w:w="7161"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Description</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333333"/>
                <w:sz w:val="20"/>
                <w:szCs w:val="20"/>
              </w:rPr>
              <w:t>Term</w:t>
            </w:r>
          </w:p>
        </w:tc>
        <w:tc>
          <w:tcPr>
            <w:tcW w:w="7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333333"/>
                <w:sz w:val="20"/>
                <w:szCs w:val="20"/>
              </w:rPr>
              <w:t>Duration of the lease in days. Default: 30 days. Configurable per branch policy. Minimum: 1 day. Maximum: 365 days.</w:t>
            </w:r>
          </w:p>
        </w:tc>
      </w:tr>
      <w:tr>
        <w:trPr/>
        <w:tc>
          <w:tcPr>
            <w:tcW w:w="2199" w:type="dxa"/>
            <w:tcBorders>
              <w:top w:val="single" w:sz="2" w:space="0" w:color="CCCCCC"/>
              <w:start w:val="single" w:sz="2" w:space="0" w:color="CCCCCC"/>
              <w:bottom w:val="single" w:sz="2" w:space="0" w:color="CCCCCC"/>
              <w:end w:val="single" w:sz="2" w:space="0" w:color="CCCCCC"/>
            </w:tcBorders>
            <w:shd w:fill="F0F4F8" w:val="clear"/>
          </w:tcPr>
          <w:p>
            <w:pPr>
              <w:pStyle w:val="Normal"/>
              <w:rPr/>
            </w:pPr>
            <w:r>
              <w:rPr>
                <w:rFonts w:eastAsia="Arial" w:cs="Arial"/>
                <w:color w:val="333333"/>
                <w:sz w:val="20"/>
                <w:szCs w:val="20"/>
              </w:rPr>
              <w:t>Auto-renewal</w:t>
            </w:r>
          </w:p>
        </w:tc>
        <w:tc>
          <w:tcPr>
            <w:tcW w:w="7161" w:type="dxa"/>
            <w:tcBorders>
              <w:top w:val="single" w:sz="2" w:space="0" w:color="CCCCCC"/>
              <w:start w:val="single" w:sz="2" w:space="0" w:color="CCCCCC"/>
              <w:bottom w:val="single" w:sz="2" w:space="0" w:color="CCCCCC"/>
              <w:end w:val="single" w:sz="2" w:space="0" w:color="CCCCCC"/>
            </w:tcBorders>
            <w:shd w:fill="F0F4F8" w:val="clear"/>
          </w:tcPr>
          <w:p>
            <w:pPr>
              <w:pStyle w:val="Normal"/>
              <w:rPr/>
            </w:pPr>
            <w:r>
              <w:rPr>
                <w:rFonts w:eastAsia="Arial" w:cs="Arial"/>
                <w:color w:val="333333"/>
                <w:sz w:val="20"/>
                <w:szCs w:val="20"/>
              </w:rPr>
              <w:t>Lease renews automatically at expiration unless explicitly revoked. Protects institutions from access loss if the user is inactive or unreachable.</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333333"/>
                <w:sz w:val="20"/>
                <w:szCs w:val="20"/>
              </w:rPr>
              <w:t>Scope</w:t>
            </w:r>
          </w:p>
        </w:tc>
        <w:tc>
          <w:tcPr>
            <w:tcW w:w="7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333333"/>
                <w:sz w:val="20"/>
                <w:szCs w:val="20"/>
              </w:rPr>
              <w:t>The set of quanta the lease authorizes access to, defined by branch, channel, and security level. A lease cannot exceed the branch policy's declared scope.</w:t>
            </w:r>
          </w:p>
        </w:tc>
      </w:tr>
      <w:tr>
        <w:trPr/>
        <w:tc>
          <w:tcPr>
            <w:tcW w:w="2199" w:type="dxa"/>
            <w:tcBorders>
              <w:top w:val="single" w:sz="2" w:space="0" w:color="CCCCCC"/>
              <w:start w:val="single" w:sz="2" w:space="0" w:color="CCCCCC"/>
              <w:bottom w:val="single" w:sz="2" w:space="0" w:color="CCCCCC"/>
              <w:end w:val="single" w:sz="2" w:space="0" w:color="CCCCCC"/>
            </w:tcBorders>
            <w:shd w:fill="F0F4F8" w:val="clear"/>
          </w:tcPr>
          <w:p>
            <w:pPr>
              <w:pStyle w:val="Normal"/>
              <w:rPr/>
            </w:pPr>
            <w:r>
              <w:rPr>
                <w:rFonts w:eastAsia="Arial" w:cs="Arial"/>
                <w:color w:val="333333"/>
                <w:sz w:val="20"/>
                <w:szCs w:val="20"/>
              </w:rPr>
              <w:t>Revocability</w:t>
            </w:r>
          </w:p>
        </w:tc>
        <w:tc>
          <w:tcPr>
            <w:tcW w:w="7161" w:type="dxa"/>
            <w:tcBorders>
              <w:top w:val="single" w:sz="2" w:space="0" w:color="CCCCCC"/>
              <w:start w:val="single" w:sz="2" w:space="0" w:color="CCCCCC"/>
              <w:bottom w:val="single" w:sz="2" w:space="0" w:color="CCCCCC"/>
              <w:end w:val="single" w:sz="2" w:space="0" w:color="CCCCCC"/>
            </w:tcBorders>
            <w:shd w:fill="F0F4F8" w:val="clear"/>
          </w:tcPr>
          <w:p>
            <w:pPr>
              <w:pStyle w:val="Normal"/>
              <w:rPr/>
            </w:pPr>
            <w:r>
              <w:rPr>
                <w:rFonts w:eastAsia="Arial" w:cs="Arial"/>
                <w:color w:val="333333"/>
                <w:sz w:val="20"/>
                <w:szCs w:val="20"/>
              </w:rPr>
              <w:t>The user can revoke a lease at any time. Revocation follows the branch policy's declared retention and grace period terms.</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333333"/>
                <w:sz w:val="20"/>
                <w:szCs w:val="20"/>
              </w:rPr>
              <w:t>Cryptographic binding</w:t>
            </w:r>
          </w:p>
        </w:tc>
        <w:tc>
          <w:tcPr>
            <w:tcW w:w="7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333333"/>
                <w:sz w:val="20"/>
                <w:szCs w:val="20"/>
              </w:rPr>
              <w:t>The lease is bound to the institution's certificate, the branch identifier, and the lease term. A different institution, branch, or term produces a different lease key.</w:t>
            </w:r>
          </w:p>
        </w:tc>
      </w:tr>
      <w:tr>
        <w:trPr/>
        <w:tc>
          <w:tcPr>
            <w:tcW w:w="2199" w:type="dxa"/>
            <w:tcBorders>
              <w:top w:val="single" w:sz="2" w:space="0" w:color="CCCCCC"/>
              <w:start w:val="single" w:sz="2" w:space="0" w:color="CCCCCC"/>
              <w:bottom w:val="single" w:sz="2" w:space="0" w:color="CCCCCC"/>
              <w:end w:val="single" w:sz="2" w:space="0" w:color="CCCCCC"/>
            </w:tcBorders>
            <w:shd w:fill="F0F4F8" w:val="clear"/>
          </w:tcPr>
          <w:p>
            <w:pPr>
              <w:pStyle w:val="Normal"/>
              <w:rPr/>
            </w:pPr>
            <w:r>
              <w:rPr>
                <w:rFonts w:eastAsia="Arial" w:cs="Arial"/>
                <w:color w:val="333333"/>
                <w:sz w:val="20"/>
                <w:szCs w:val="20"/>
              </w:rPr>
              <w:t>Ledger recording</w:t>
            </w:r>
          </w:p>
        </w:tc>
        <w:tc>
          <w:tcPr>
            <w:tcW w:w="7161" w:type="dxa"/>
            <w:tcBorders>
              <w:top w:val="single" w:sz="2" w:space="0" w:color="CCCCCC"/>
              <w:start w:val="single" w:sz="2" w:space="0" w:color="CCCCCC"/>
              <w:bottom w:val="single" w:sz="2" w:space="0" w:color="CCCCCC"/>
              <w:end w:val="single" w:sz="2" w:space="0" w:color="CCCCCC"/>
            </w:tcBorders>
            <w:shd w:fill="F0F4F8" w:val="clear"/>
          </w:tcPr>
          <w:p>
            <w:pPr>
              <w:pStyle w:val="Normal"/>
              <w:rPr/>
            </w:pPr>
            <w:r>
              <w:rPr>
                <w:rFonts w:eastAsia="Arial" w:cs="Arial"/>
                <w:color w:val="333333"/>
                <w:sz w:val="20"/>
                <w:szCs w:val="20"/>
              </w:rPr>
              <w:t>Every lease event (grant, renewal, revocation, expiration) is recorded in the immutable ledger with cryptographic proof.</w:t>
            </w:r>
          </w:p>
        </w:tc>
      </w:tr>
    </w:tbl>
    <w:p>
      <w:pPr>
        <w:pStyle w:val="Heading2"/>
        <w:spacing w:before="300" w:after="180"/>
        <w:rPr/>
      </w:pPr>
      <w:r>
        <w:rPr>
          <w:rFonts w:eastAsia="Arial" w:cs="Arial" w:ascii="Arial" w:hAnsi="Arial"/>
          <w:b/>
          <w:bCs/>
          <w:color w:val="1B2A4A"/>
          <w:sz w:val="28"/>
          <w:szCs w:val="28"/>
        </w:rPr>
        <w:t>2.3 Lease Lifecycle</w:t>
      </w:r>
    </w:p>
    <w:p>
      <w:pPr>
        <w:pStyle w:val="Normal"/>
        <w:spacing w:before="240" w:after="120"/>
        <w:rPr/>
      </w:pPr>
      <w:r>
        <w:rPr>
          <w:rFonts w:eastAsia="Arial" w:cs="Arial"/>
          <w:b/>
          <w:bCs/>
          <w:color w:val="1B2A4A"/>
          <w:sz w:val="24"/>
          <w:szCs w:val="24"/>
        </w:rPr>
        <w:t>Grant</w:t>
      </w:r>
    </w:p>
    <w:p>
      <w:pPr>
        <w:pStyle w:val="Normal"/>
        <w:spacing w:before="0" w:after="160"/>
        <w:rPr/>
      </w:pPr>
      <w:r>
        <w:rPr>
          <w:rFonts w:eastAsia="Arial" w:cs="Arial"/>
          <w:color w:val="333333"/>
          <w:sz w:val="22"/>
          <w:szCs w:val="22"/>
        </w:rPr>
        <w:t>When a user peers with an institution, the protocol generates a lease scoped to the new branch. The lease key is derived from the peering handshake material, the institution's certificate, and the lease term. The lease is recorded in the ledger.</w:t>
      </w:r>
    </w:p>
    <w:p>
      <w:pPr>
        <w:pStyle w:val="Normal"/>
        <w:spacing w:before="240" w:after="120"/>
        <w:rPr/>
      </w:pPr>
      <w:r>
        <w:rPr>
          <w:rFonts w:eastAsia="Arial" w:cs="Arial"/>
          <w:b/>
          <w:bCs/>
          <w:color w:val="1B2A4A"/>
          <w:sz w:val="24"/>
          <w:szCs w:val="24"/>
        </w:rPr>
        <w:t>Renewal</w:t>
      </w:r>
    </w:p>
    <w:p>
      <w:pPr>
        <w:pStyle w:val="Normal"/>
        <w:spacing w:before="0" w:after="160"/>
        <w:rPr/>
      </w:pPr>
      <w:r>
        <w:rPr>
          <w:rFonts w:eastAsia="Arial" w:cs="Arial"/>
          <w:color w:val="333333"/>
          <w:sz w:val="22"/>
          <w:szCs w:val="22"/>
        </w:rPr>
        <w:t>At the lease term boundary, the protocol automatically generates a new lease key and re-wraps the branch's DEKs. The old lease key is invalidated. The institution's operational access is uninterrupted. The renewal is recorded in the ledger.</w:t>
      </w:r>
    </w:p>
    <w:p>
      <w:pPr>
        <w:pStyle w:val="Normal"/>
        <w:spacing w:before="240" w:after="120"/>
        <w:rPr/>
      </w:pPr>
      <w:r>
        <w:rPr>
          <w:rFonts w:eastAsia="Arial" w:cs="Arial"/>
          <w:b/>
          <w:bCs/>
          <w:color w:val="1B2A4A"/>
          <w:sz w:val="24"/>
          <w:szCs w:val="24"/>
        </w:rPr>
        <w:t>Revocation</w:t>
      </w:r>
    </w:p>
    <w:p>
      <w:pPr>
        <w:pStyle w:val="Normal"/>
        <w:spacing w:before="0" w:after="160"/>
        <w:rPr/>
      </w:pPr>
      <w:r>
        <w:rPr>
          <w:rFonts w:eastAsia="Arial" w:cs="Arial"/>
          <w:color w:val="333333"/>
          <w:sz w:val="22"/>
          <w:szCs w:val="22"/>
        </w:rPr>
        <w:t>The user initiates revocation through their vault interface. The protocol consults the branch policy to determine what happens to each data category (immediate purge, downgrade, or retention under the policy's declared terms). The revocation is recorded in the ledger.</w:t>
      </w:r>
    </w:p>
    <w:p>
      <w:pPr>
        <w:pStyle w:val="Normal"/>
        <w:spacing w:before="240" w:after="120"/>
        <w:rPr/>
      </w:pPr>
      <w:r>
        <w:rPr>
          <w:rFonts w:eastAsia="Arial" w:cs="Arial"/>
          <w:b/>
          <w:bCs/>
          <w:color w:val="1B2A4A"/>
          <w:sz w:val="24"/>
          <w:szCs w:val="24"/>
        </w:rPr>
        <w:t>Expiration</w:t>
      </w:r>
    </w:p>
    <w:p>
      <w:pPr>
        <w:pStyle w:val="Normal"/>
        <w:spacing w:before="0" w:after="160"/>
        <w:rPr/>
      </w:pPr>
      <w:r>
        <w:rPr>
          <w:rFonts w:eastAsia="Arial" w:cs="Arial"/>
          <w:color w:val="333333"/>
          <w:sz w:val="22"/>
          <w:szCs w:val="22"/>
        </w:rPr>
        <w:t>If auto-renewal is disabled (by user configuration or policy), the lease expires at the term boundary. The institution's lease key becomes non-functional. DEK wrappings for the institutional key path are removed. The expiration is recorded in the ledger.</w:t>
      </w:r>
    </w:p>
    <w:p>
      <w:pPr>
        <w:pStyle w:val="Heading2"/>
        <w:spacing w:before="300" w:after="180"/>
        <w:rPr/>
      </w:pPr>
      <w:r>
        <w:rPr>
          <w:rFonts w:eastAsia="Arial" w:cs="Arial" w:ascii="Arial" w:hAnsi="Arial"/>
          <w:b/>
          <w:bCs/>
          <w:color w:val="1B2A4A"/>
          <w:sz w:val="28"/>
          <w:szCs w:val="28"/>
        </w:rPr>
        <w:t>2.4 Lease and the Validator Network</w:t>
      </w:r>
    </w:p>
    <w:p>
      <w:pPr>
        <w:pStyle w:val="Normal"/>
        <w:spacing w:before="0" w:after="160"/>
        <w:rPr/>
      </w:pPr>
      <w:r>
        <w:rPr>
          <w:rFonts w:eastAsia="Arial" w:cs="Arial"/>
          <w:color w:val="333333"/>
          <w:sz w:val="22"/>
          <w:szCs w:val="22"/>
        </w:rPr>
        <w:t>The validator network validates lease lifecycle events—not individual data operations. Validators confirm lease grants, renewals, revocations, and expirations. They do not validate every read or write within an active lease. This keeps validator traffic proportional to relationship events (thousands per day per institution), not transaction volume (potentially billions).</w:t>
      </w:r>
    </w:p>
    <w:p>
      <w:pPr>
        <w:pStyle w:val="Normal"/>
        <w:spacing w:before="0" w:after="160"/>
        <w:rPr/>
      </w:pPr>
      <w:r>
        <w:rPr>
          <w:rFonts w:eastAsia="Arial" w:cs="Arial"/>
          <w:color w:val="333333"/>
          <w:sz w:val="22"/>
          <w:szCs w:val="22"/>
        </w:rPr>
        <w:t>Day-to-day operations within an active lease are governed by the local ledger. The local ledger syncs lease state with the global ledger on lease events, not on every transaction.</w:t>
      </w:r>
    </w:p>
    <w:p>
      <w:pPr>
        <w:pStyle w:val="Normal"/>
        <w:rPr/>
      </w:pPr>
      <w:r>
        <w:rPr/>
        <w:t>The branch ID that Part 15 uses as the user's canonical institutional identity is the same branch ID governed by the lease. Identity and access are cryptographically linked: when a lease expires or is revoked, the institutional DEK wrappings are removed (the institution loses data access) and the branch hash becomes unresolvable through the addressing protocol (the institution loses the ability to address the user). Account closure is therefore complete at the protocol level — both data access and identity addressing terminate simultaneously. Alias forwarding notices (Part 15, Section 13.2) are not published for lease-terminated branch IDs unless the user explicitly configures a forwarding alias.</w:t>
      </w:r>
      <w:r>
        <w:br w:type="page"/>
      </w:r>
    </w:p>
    <w:p>
      <w:pPr>
        <w:pStyle w:val="Heading1"/>
        <w:spacing w:before="0" w:after="200"/>
        <w:rPr/>
      </w:pPr>
      <w:r>
        <w:rPr>
          <w:rFonts w:eastAsia="Arial" w:cs="Arial" w:ascii="Arial" w:hAnsi="Arial"/>
          <w:b/>
          <w:bCs/>
          <w:color w:val="1B2A4A"/>
          <w:sz w:val="32"/>
          <w:szCs w:val="32"/>
        </w:rPr>
        <w:t>3. Branch Policy</w:t>
      </w:r>
    </w:p>
    <w:p>
      <w:pPr>
        <w:pStyle w:val="Heading2"/>
        <w:spacing w:before="300" w:after="180"/>
        <w:rPr/>
      </w:pPr>
      <w:r>
        <w:rPr>
          <w:rFonts w:eastAsia="Arial" w:cs="Arial" w:ascii="Arial" w:hAnsi="Arial"/>
          <w:b/>
          <w:bCs/>
          <w:color w:val="1B2A4A"/>
          <w:sz w:val="28"/>
          <w:szCs w:val="28"/>
        </w:rPr>
        <w:t>3.1 What a Branch Policy Is</w:t>
      </w:r>
    </w:p>
    <w:p>
      <w:pPr>
        <w:pStyle w:val="Normal"/>
        <w:spacing w:before="0" w:after="160"/>
        <w:rPr/>
      </w:pPr>
      <w:r>
        <w:rPr>
          <w:rFonts w:eastAsia="Arial" w:cs="Arial"/>
          <w:color w:val="333333"/>
          <w:sz w:val="22"/>
          <w:szCs w:val="22"/>
        </w:rPr>
        <w:t>Every institutional branch must publish a cryptographically signed policy document recorded on the ledger. The branch policy is the governing contract for the institutional relationship. It declares what data the institution stores, at what security levels, for how long, and what happens under various lifecycle events (revocation, transfer, account closure).</w:t>
      </w:r>
    </w:p>
    <w:p>
      <w:pPr>
        <w:pStyle w:val="Normal"/>
        <w:spacing w:before="0" w:after="160"/>
        <w:rPr/>
      </w:pPr>
      <w:r>
        <w:rPr>
          <w:rFonts w:eastAsia="Arial" w:cs="Arial"/>
          <w:color w:val="333333"/>
          <w:sz w:val="22"/>
          <w:szCs w:val="22"/>
        </w:rPr>
        <w:t>The policy is machine-executable: it consists of typed attributes with a defined schema that can be evaluated by software or hardware enforcement engines. The policy is also human-readable: each attribute has an associated description rendered in the user's vault interface.</w:t>
      </w:r>
    </w:p>
    <w:p>
      <w:pPr>
        <w:pStyle w:val="Heading2"/>
        <w:spacing w:before="300" w:after="180"/>
        <w:rPr/>
      </w:pPr>
      <w:r>
        <w:rPr>
          <w:rFonts w:eastAsia="Arial" w:cs="Arial" w:ascii="Arial" w:hAnsi="Arial"/>
          <w:b/>
          <w:bCs/>
          <w:color w:val="1B2A4A"/>
          <w:sz w:val="28"/>
          <w:szCs w:val="28"/>
        </w:rPr>
        <w:t>3.2 Constitutional Minimums</w:t>
      </w:r>
    </w:p>
    <w:p>
      <w:pPr>
        <w:pStyle w:val="Normal"/>
        <w:spacing w:before="0" w:after="160"/>
        <w:rPr/>
      </w:pPr>
      <w:r>
        <w:rPr>
          <w:rFonts w:eastAsia="Arial" w:cs="Arial"/>
          <w:color w:val="333333"/>
          <w:sz w:val="22"/>
          <w:szCs w:val="22"/>
        </w:rPr>
        <w:t>The specification defines a small set of inviolable rules that no branch policy can override. These are the protocol-enforced constitutional minimums:</w:t>
      </w:r>
    </w:p>
    <w:p>
      <w:pPr>
        <w:pStyle w:val="ListParagraph"/>
        <w:numPr>
          <w:ilvl w:val="0"/>
          <w:numId w:val="3"/>
        </w:numPr>
        <w:spacing w:before="0" w:after="100"/>
        <w:rPr/>
      </w:pPr>
      <w:r>
        <w:rPr>
          <w:rFonts w:eastAsia="Arial" w:cs="Arial"/>
          <w:b/>
          <w:bCs/>
          <w:i w:val="false"/>
          <w:iCs w:val="false"/>
          <w:color w:val="333333"/>
          <w:sz w:val="22"/>
          <w:szCs w:val="22"/>
        </w:rPr>
        <w:t xml:space="preserve">Notification: </w:t>
      </w:r>
      <w:r>
        <w:rPr>
          <w:rFonts w:eastAsia="Arial" w:cs="Arial"/>
          <w:b w:val="false"/>
          <w:bCs w:val="false"/>
          <w:i w:val="false"/>
          <w:iCs w:val="false"/>
          <w:color w:val="333333"/>
          <w:sz w:val="22"/>
          <w:szCs w:val="22"/>
        </w:rPr>
        <w:t>The institution must notify the user of any policy change through the Bonafide protocol.</w:t>
      </w:r>
    </w:p>
    <w:p>
      <w:pPr>
        <w:pStyle w:val="ListParagraph"/>
        <w:numPr>
          <w:ilvl w:val="0"/>
          <w:numId w:val="1"/>
        </w:numPr>
        <w:spacing w:before="0" w:after="100"/>
        <w:rPr/>
      </w:pPr>
      <w:r>
        <w:rPr>
          <w:rFonts w:eastAsia="Arial" w:cs="Arial"/>
          <w:b/>
          <w:bCs/>
          <w:i w:val="false"/>
          <w:iCs w:val="false"/>
          <w:color w:val="333333"/>
          <w:sz w:val="22"/>
          <w:szCs w:val="22"/>
        </w:rPr>
        <w:t xml:space="preserve">Consent: </w:t>
      </w:r>
      <w:r>
        <w:rPr>
          <w:rFonts w:eastAsia="Arial" w:cs="Arial"/>
          <w:b w:val="false"/>
          <w:bCs w:val="false"/>
          <w:i w:val="false"/>
          <w:iCs w:val="false"/>
          <w:color w:val="333333"/>
          <w:sz w:val="22"/>
          <w:szCs w:val="22"/>
        </w:rPr>
        <w:t>The user must explicitly accept any policy change. Continued use does not constitute consent.</w:t>
      </w:r>
    </w:p>
    <w:p>
      <w:pPr>
        <w:pStyle w:val="ListParagraph"/>
        <w:numPr>
          <w:ilvl w:val="0"/>
          <w:numId w:val="1"/>
        </w:numPr>
        <w:spacing w:before="0" w:after="100"/>
        <w:rPr/>
      </w:pPr>
      <w:r>
        <w:rPr>
          <w:rFonts w:eastAsia="Arial" w:cs="Arial"/>
          <w:b/>
          <w:bCs/>
          <w:i w:val="false"/>
          <w:iCs w:val="false"/>
          <w:color w:val="333333"/>
          <w:sz w:val="22"/>
          <w:szCs w:val="22"/>
        </w:rPr>
        <w:t xml:space="preserve">Transfer consent: </w:t>
      </w:r>
      <w:r>
        <w:rPr>
          <w:rFonts w:eastAsia="Arial" w:cs="Arial"/>
          <w:b w:val="false"/>
          <w:bCs w:val="false"/>
          <w:i w:val="false"/>
          <w:iCs w:val="false"/>
          <w:color w:val="333333"/>
          <w:sz w:val="22"/>
          <w:szCs w:val="22"/>
        </w:rPr>
        <w:t>The user must explicitly accept institutional transfers. Silence defaults to rejection.</w:t>
      </w:r>
    </w:p>
    <w:p>
      <w:pPr>
        <w:pStyle w:val="ListParagraph"/>
        <w:numPr>
          <w:ilvl w:val="0"/>
          <w:numId w:val="1"/>
        </w:numPr>
        <w:spacing w:before="0" w:after="100"/>
        <w:rPr/>
      </w:pPr>
      <w:r>
        <w:rPr>
          <w:rFonts w:eastAsia="Arial" w:cs="Arial"/>
          <w:b/>
          <w:bCs/>
          <w:i w:val="false"/>
          <w:iCs w:val="false"/>
          <w:color w:val="333333"/>
          <w:sz w:val="22"/>
          <w:szCs w:val="22"/>
        </w:rPr>
        <w:t xml:space="preserve">Finite leases: </w:t>
      </w:r>
      <w:r>
        <w:rPr>
          <w:rFonts w:eastAsia="Arial" w:cs="Arial"/>
          <w:b w:val="false"/>
          <w:bCs w:val="false"/>
          <w:i w:val="false"/>
          <w:iCs w:val="false"/>
          <w:color w:val="333333"/>
          <w:sz w:val="22"/>
          <w:szCs w:val="22"/>
        </w:rPr>
        <w:t>Leases must have finite terms with auto-renewal. No perpetual grants.</w:t>
      </w:r>
    </w:p>
    <w:p>
      <w:pPr>
        <w:pStyle w:val="ListParagraph"/>
        <w:numPr>
          <w:ilvl w:val="0"/>
          <w:numId w:val="1"/>
        </w:numPr>
        <w:spacing w:before="0" w:after="100"/>
        <w:rPr/>
      </w:pPr>
      <w:r>
        <w:rPr>
          <w:rFonts w:eastAsia="Arial" w:cs="Arial"/>
          <w:b/>
          <w:bCs/>
          <w:i w:val="false"/>
          <w:iCs w:val="false"/>
          <w:color w:val="333333"/>
          <w:sz w:val="22"/>
          <w:szCs w:val="22"/>
        </w:rPr>
        <w:t xml:space="preserve">Revocability: </w:t>
      </w:r>
      <w:r>
        <w:rPr>
          <w:rFonts w:eastAsia="Arial" w:cs="Arial"/>
          <w:b w:val="false"/>
          <w:bCs w:val="false"/>
          <w:i w:val="false"/>
          <w:iCs w:val="false"/>
          <w:color w:val="333333"/>
          <w:sz w:val="22"/>
          <w:szCs w:val="22"/>
        </w:rPr>
        <w:t>The user can always revoke a lease, subject to the retention terms they originally accepted.</w:t>
      </w:r>
    </w:p>
    <w:p>
      <w:pPr>
        <w:pStyle w:val="ListParagraph"/>
        <w:numPr>
          <w:ilvl w:val="0"/>
          <w:numId w:val="1"/>
        </w:numPr>
        <w:spacing w:before="0" w:after="100"/>
        <w:rPr/>
      </w:pPr>
      <w:r>
        <w:rPr>
          <w:rFonts w:eastAsia="Arial" w:cs="Arial"/>
          <w:b/>
          <w:bCs/>
          <w:i w:val="false"/>
          <w:iCs w:val="false"/>
          <w:color w:val="333333"/>
          <w:sz w:val="22"/>
          <w:szCs w:val="22"/>
        </w:rPr>
        <w:t xml:space="preserve">Transparency: </w:t>
      </w:r>
      <w:r>
        <w:rPr>
          <w:rFonts w:eastAsia="Arial" w:cs="Arial"/>
          <w:b w:val="false"/>
          <w:bCs w:val="false"/>
          <w:i w:val="false"/>
          <w:iCs w:val="false"/>
          <w:color w:val="333333"/>
          <w:sz w:val="22"/>
          <w:szCs w:val="22"/>
        </w:rPr>
        <w:t>The institution must declare what data it retains and for how long before the relationship begins.</w:t>
      </w:r>
    </w:p>
    <w:p>
      <w:pPr>
        <w:pStyle w:val="ListParagraph"/>
        <w:numPr>
          <w:ilvl w:val="0"/>
          <w:numId w:val="1"/>
        </w:numPr>
        <w:spacing w:before="0" w:after="100"/>
        <w:rPr/>
      </w:pPr>
      <w:r>
        <w:rPr>
          <w:rFonts w:eastAsia="Arial" w:cs="Arial"/>
          <w:b/>
          <w:bCs/>
          <w:i w:val="false"/>
          <w:iCs w:val="false"/>
          <w:color w:val="333333"/>
          <w:sz w:val="22"/>
          <w:szCs w:val="22"/>
        </w:rPr>
        <w:t xml:space="preserve">Proof: </w:t>
      </w:r>
      <w:r>
        <w:rPr>
          <w:rFonts w:eastAsia="Arial" w:cs="Arial"/>
          <w:b w:val="false"/>
          <w:bCs w:val="false"/>
          <w:i w:val="false"/>
          <w:iCs w:val="false"/>
          <w:color w:val="333333"/>
          <w:sz w:val="22"/>
          <w:szCs w:val="22"/>
        </w:rPr>
        <w:t>Cryptographic proof of every lease event (grant, renew, revoke, transfer) is recorded on the ledger.</w:t>
      </w:r>
    </w:p>
    <w:p>
      <w:pPr>
        <w:pStyle w:val="ListParagraph"/>
        <w:numPr>
          <w:ilvl w:val="0"/>
          <w:numId w:val="1"/>
        </w:numPr>
        <w:spacing w:before="0" w:after="100"/>
        <w:rPr/>
      </w:pPr>
      <w:r>
        <w:rPr>
          <w:rFonts w:eastAsia="Arial" w:cs="Arial"/>
          <w:b/>
          <w:bCs/>
          <w:i w:val="false"/>
          <w:iCs w:val="false"/>
          <w:color w:val="333333"/>
          <w:sz w:val="22"/>
          <w:szCs w:val="22"/>
        </w:rPr>
        <w:t xml:space="preserve">No retroactive weakening: </w:t>
      </w:r>
      <w:r>
        <w:rPr>
          <w:rFonts w:eastAsia="Arial" w:cs="Arial"/>
          <w:b w:val="false"/>
          <w:bCs w:val="false"/>
          <w:i w:val="false"/>
          <w:iCs w:val="false"/>
          <w:color w:val="333333"/>
          <w:sz w:val="22"/>
          <w:szCs w:val="22"/>
        </w:rPr>
        <w:t>A policy update cannot reduce protections on data already stored under the previous policy without user acceptance.</w:t>
      </w:r>
    </w:p>
    <w:p>
      <w:pPr>
        <w:pStyle w:val="Heading2"/>
        <w:spacing w:before="300" w:after="180"/>
        <w:rPr/>
      </w:pPr>
      <w:r>
        <w:rPr>
          <w:rFonts w:eastAsia="Arial" w:cs="Arial" w:ascii="Arial" w:hAnsi="Arial"/>
          <w:b/>
          <w:bCs/>
          <w:color w:val="1B2A4A"/>
          <w:sz w:val="28"/>
          <w:szCs w:val="28"/>
        </w:rPr>
        <w:t>3.3 Policy Attribute Schema</w:t>
      </w:r>
    </w:p>
    <w:p>
      <w:pPr>
        <w:pStyle w:val="Normal"/>
        <w:spacing w:before="0" w:after="160"/>
        <w:rPr/>
      </w:pPr>
      <w:r>
        <w:rPr>
          <w:rFonts w:eastAsia="Arial" w:cs="Arial"/>
          <w:color w:val="333333"/>
          <w:sz w:val="22"/>
          <w:szCs w:val="22"/>
        </w:rPr>
        <w:t>The policy consists of typed key-value attributes organized by namespace. The specification defines the attribute schema (field names, data types, valid value ranges, and operator set). Institutions fill in the values. The schema is extensible—institutions and industry groups can add namespaces—but cannot remove or weaken the constitutional attributes.</w:t>
      </w:r>
    </w:p>
    <w:p>
      <w:pPr>
        <w:pStyle w:val="Normal"/>
        <w:spacing w:before="240" w:after="120"/>
        <w:rPr/>
      </w:pPr>
      <w:r>
        <w:rPr>
          <w:rFonts w:eastAsia="Arial" w:cs="Arial"/>
          <w:b/>
          <w:bCs/>
          <w:color w:val="1B2A4A"/>
          <w:sz w:val="24"/>
          <w:szCs w:val="24"/>
        </w:rPr>
        <w:t>Core Attribute Namespaces</w:t>
      </w:r>
    </w:p>
    <w:tbl>
      <w:tblPr>
        <w:tblW w:w="9360" w:type="dxa"/>
        <w:jc w:val="start"/>
        <w:tblInd w:w="0" w:type="dxa"/>
        <w:tblLayout w:type="fixed"/>
        <w:tblCellMar>
          <w:top w:w="60" w:type="dxa"/>
          <w:start w:w="100" w:type="dxa"/>
          <w:bottom w:w="60" w:type="dxa"/>
          <w:end w:w="100" w:type="dxa"/>
        </w:tblCellMar>
      </w:tblPr>
      <w:tblGrid>
        <w:gridCol w:w="1799"/>
        <w:gridCol w:w="3000"/>
        <w:gridCol w:w="4561"/>
      </w:tblGrid>
      <w:tr>
        <w:trPr/>
        <w:tc>
          <w:tcPr>
            <w:tcW w:w="1799"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Namespace</w:t>
            </w:r>
          </w:p>
        </w:tc>
        <w:tc>
          <w:tcPr>
            <w:tcW w:w="30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Scope</w:t>
            </w:r>
          </w:p>
        </w:tc>
        <w:tc>
          <w:tcPr>
            <w:tcW w:w="4561"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Example Attributes</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333333"/>
                <w:sz w:val="20"/>
                <w:szCs w:val="20"/>
              </w:rPr>
              <w:t>lease.*</w:t>
            </w:r>
          </w:p>
        </w:tc>
        <w:tc>
          <w:tcPr>
            <w:tcW w:w="3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333333"/>
                <w:sz w:val="20"/>
                <w:szCs w:val="20"/>
              </w:rPr>
              <w:t>Lease terms and behavior</w:t>
            </w:r>
          </w:p>
        </w:tc>
        <w:tc>
          <w:tcPr>
            <w:tcW w:w="4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333333"/>
                <w:sz w:val="20"/>
                <w:szCs w:val="20"/>
              </w:rPr>
              <w:t>lease.term_days, lease.auto_renew, lease.on_expire, lease.grace_period_days</w:t>
            </w:r>
          </w:p>
        </w:tc>
      </w:tr>
      <w:tr>
        <w:trPr/>
        <w:tc>
          <w:tcPr>
            <w:tcW w:w="1799" w:type="dxa"/>
            <w:tcBorders>
              <w:top w:val="single" w:sz="2" w:space="0" w:color="CCCCCC"/>
              <w:start w:val="single" w:sz="2" w:space="0" w:color="CCCCCC"/>
              <w:bottom w:val="single" w:sz="2" w:space="0" w:color="CCCCCC"/>
              <w:end w:val="single" w:sz="2" w:space="0" w:color="CCCCCC"/>
            </w:tcBorders>
            <w:shd w:fill="F0F4F8" w:val="clear"/>
          </w:tcPr>
          <w:p>
            <w:pPr>
              <w:pStyle w:val="Normal"/>
              <w:rPr/>
            </w:pPr>
            <w:r>
              <w:rPr>
                <w:rFonts w:eastAsia="Arial" w:cs="Arial"/>
                <w:color w:val="333333"/>
                <w:sz w:val="20"/>
                <w:szCs w:val="20"/>
              </w:rPr>
              <w:t>data.*</w:t>
            </w:r>
          </w:p>
        </w:tc>
        <w:tc>
          <w:tcPr>
            <w:tcW w:w="3000" w:type="dxa"/>
            <w:tcBorders>
              <w:top w:val="single" w:sz="2" w:space="0" w:color="CCCCCC"/>
              <w:start w:val="single" w:sz="2" w:space="0" w:color="CCCCCC"/>
              <w:bottom w:val="single" w:sz="2" w:space="0" w:color="CCCCCC"/>
              <w:end w:val="single" w:sz="2" w:space="0" w:color="CCCCCC"/>
            </w:tcBorders>
            <w:shd w:fill="F0F4F8" w:val="clear"/>
          </w:tcPr>
          <w:p>
            <w:pPr>
              <w:pStyle w:val="Normal"/>
              <w:rPr/>
            </w:pPr>
            <w:r>
              <w:rPr>
                <w:rFonts w:eastAsia="Arial" w:cs="Arial"/>
                <w:color w:val="333333"/>
                <w:sz w:val="20"/>
                <w:szCs w:val="20"/>
              </w:rPr>
              <w:t>Data classification and handling</w:t>
            </w:r>
          </w:p>
        </w:tc>
        <w:tc>
          <w:tcPr>
            <w:tcW w:w="4561" w:type="dxa"/>
            <w:tcBorders>
              <w:top w:val="single" w:sz="2" w:space="0" w:color="CCCCCC"/>
              <w:start w:val="single" w:sz="2" w:space="0" w:color="CCCCCC"/>
              <w:bottom w:val="single" w:sz="2" w:space="0" w:color="CCCCCC"/>
              <w:end w:val="single" w:sz="2" w:space="0" w:color="CCCCCC"/>
            </w:tcBorders>
            <w:shd w:fill="F0F4F8" w:val="clear"/>
          </w:tcPr>
          <w:p>
            <w:pPr>
              <w:pStyle w:val="Normal"/>
              <w:rPr/>
            </w:pPr>
            <w:r>
              <w:rPr>
                <w:rFonts w:eastAsia="Arial" w:cs="Arial"/>
                <w:color w:val="333333"/>
                <w:sz w:val="20"/>
                <w:szCs w:val="20"/>
              </w:rPr>
              <w:t>data.&lt;category&gt;.security_level, data.&lt;category&gt;.user_visible, data.&lt;category&gt;.on_revoke, data.&lt;category&gt;.retention_days</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333333"/>
                <w:sz w:val="20"/>
                <w:szCs w:val="20"/>
              </w:rPr>
              <w:t>transfer.*</w:t>
            </w:r>
          </w:p>
        </w:tc>
        <w:tc>
          <w:tcPr>
            <w:tcW w:w="3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333333"/>
                <w:sz w:val="20"/>
                <w:szCs w:val="20"/>
              </w:rPr>
              <w:t>Transfer behavior</w:t>
            </w:r>
          </w:p>
        </w:tc>
        <w:tc>
          <w:tcPr>
            <w:tcW w:w="4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333333"/>
                <w:sz w:val="20"/>
                <w:szCs w:val="20"/>
              </w:rPr>
              <w:t>transfer.require_user_accept, transfer.default_on_silence, transfer.notice_days</w:t>
            </w:r>
          </w:p>
        </w:tc>
      </w:tr>
      <w:tr>
        <w:trPr/>
        <w:tc>
          <w:tcPr>
            <w:tcW w:w="1799" w:type="dxa"/>
            <w:tcBorders>
              <w:top w:val="single" w:sz="2" w:space="0" w:color="CCCCCC"/>
              <w:start w:val="single" w:sz="2" w:space="0" w:color="CCCCCC"/>
              <w:bottom w:val="single" w:sz="2" w:space="0" w:color="CCCCCC"/>
              <w:end w:val="single" w:sz="2" w:space="0" w:color="CCCCCC"/>
            </w:tcBorders>
            <w:shd w:fill="F0F4F8" w:val="clear"/>
          </w:tcPr>
          <w:p>
            <w:pPr>
              <w:pStyle w:val="Normal"/>
              <w:rPr/>
            </w:pPr>
            <w:r>
              <w:rPr>
                <w:rFonts w:eastAsia="Arial" w:cs="Arial"/>
                <w:color w:val="333333"/>
                <w:sz w:val="20"/>
                <w:szCs w:val="20"/>
              </w:rPr>
              <w:t>retention.*</w:t>
            </w:r>
          </w:p>
        </w:tc>
        <w:tc>
          <w:tcPr>
            <w:tcW w:w="3000" w:type="dxa"/>
            <w:tcBorders>
              <w:top w:val="single" w:sz="2" w:space="0" w:color="CCCCCC"/>
              <w:start w:val="single" w:sz="2" w:space="0" w:color="CCCCCC"/>
              <w:bottom w:val="single" w:sz="2" w:space="0" w:color="CCCCCC"/>
              <w:end w:val="single" w:sz="2" w:space="0" w:color="CCCCCC"/>
            </w:tcBorders>
            <w:shd w:fill="F0F4F8" w:val="clear"/>
          </w:tcPr>
          <w:p>
            <w:pPr>
              <w:pStyle w:val="Normal"/>
              <w:rPr/>
            </w:pPr>
            <w:r>
              <w:rPr>
                <w:rFonts w:eastAsia="Arial" w:cs="Arial"/>
                <w:color w:val="333333"/>
                <w:sz w:val="20"/>
                <w:szCs w:val="20"/>
              </w:rPr>
              <w:t>Post-closure retention</w:t>
            </w:r>
          </w:p>
        </w:tc>
        <w:tc>
          <w:tcPr>
            <w:tcW w:w="4561" w:type="dxa"/>
            <w:tcBorders>
              <w:top w:val="single" w:sz="2" w:space="0" w:color="CCCCCC"/>
              <w:start w:val="single" w:sz="2" w:space="0" w:color="CCCCCC"/>
              <w:bottom w:val="single" w:sz="2" w:space="0" w:color="CCCCCC"/>
              <w:end w:val="single" w:sz="2" w:space="0" w:color="CCCCCC"/>
            </w:tcBorders>
            <w:shd w:fill="F0F4F8" w:val="clear"/>
          </w:tcPr>
          <w:p>
            <w:pPr>
              <w:pStyle w:val="Normal"/>
              <w:rPr/>
            </w:pPr>
            <w:r>
              <w:rPr>
                <w:rFonts w:eastAsia="Arial" w:cs="Arial"/>
                <w:color w:val="333333"/>
                <w:sz w:val="20"/>
                <w:szCs w:val="20"/>
              </w:rPr>
              <w:t>retention.&lt;category&gt;.duration_days, retention.&lt;category&gt;.security_level, retention.&lt;category&gt;.legal_basis</w:t>
            </w:r>
          </w:p>
        </w:tc>
      </w:tr>
    </w:tbl>
    <w:p>
      <w:pPr>
        <w:pStyle w:val="Normal"/>
        <w:spacing w:before="0" w:after="100"/>
        <w:rPr/>
      </w:pPr>
      <w:r>
        <w:rPr/>
      </w:r>
    </w:p>
    <w:p>
      <w:pPr>
        <w:pStyle w:val="Normal"/>
        <w:spacing w:before="240" w:after="120"/>
        <w:rPr/>
      </w:pPr>
      <w:r>
        <w:rPr>
          <w:rFonts w:eastAsia="Arial" w:cs="Arial"/>
          <w:b/>
          <w:bCs/>
          <w:color w:val="1B2A4A"/>
          <w:sz w:val="24"/>
          <w:szCs w:val="24"/>
        </w:rPr>
        <w:t>Attribute Value Types</w:t>
      </w:r>
    </w:p>
    <w:tbl>
      <w:tblPr>
        <w:tblW w:w="9360" w:type="dxa"/>
        <w:jc w:val="start"/>
        <w:tblInd w:w="0" w:type="dxa"/>
        <w:tblLayout w:type="fixed"/>
        <w:tblCellMar>
          <w:top w:w="60" w:type="dxa"/>
          <w:start w:w="100" w:type="dxa"/>
          <w:bottom w:w="60" w:type="dxa"/>
          <w:end w:w="100" w:type="dxa"/>
        </w:tblCellMar>
      </w:tblPr>
      <w:tblGrid>
        <w:gridCol w:w="1599"/>
        <w:gridCol w:w="2401"/>
        <w:gridCol w:w="2400"/>
        <w:gridCol w:w="2960"/>
      </w:tblGrid>
      <w:tr>
        <w:trPr/>
        <w:tc>
          <w:tcPr>
            <w:tcW w:w="1599"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Type</w:t>
            </w:r>
          </w:p>
        </w:tc>
        <w:tc>
          <w:tcPr>
            <w:tcW w:w="2401"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Format</w:t>
            </w:r>
          </w:p>
        </w:tc>
        <w:tc>
          <w:tcPr>
            <w:tcW w:w="24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Operators</w:t>
            </w:r>
          </w:p>
        </w:tc>
        <w:tc>
          <w:tcPr>
            <w:tcW w:w="296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Example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333333"/>
                <w:sz w:val="20"/>
                <w:szCs w:val="20"/>
              </w:rPr>
              <w:t>integer</w:t>
            </w:r>
          </w:p>
        </w:tc>
        <w:tc>
          <w:tcPr>
            <w:tcW w:w="2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333333"/>
                <w:sz w:val="20"/>
                <w:szCs w:val="20"/>
              </w:rPr>
              <w:t>Whole number</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333333"/>
                <w:sz w:val="20"/>
                <w:szCs w:val="20"/>
              </w:rPr>
              <w:t>==, !=, &lt;, &gt;, &lt;=, &gt;=</w:t>
            </w:r>
          </w:p>
        </w:tc>
        <w:tc>
          <w:tcPr>
            <w:tcW w:w="2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333333"/>
                <w:sz w:val="20"/>
                <w:szCs w:val="20"/>
              </w:rPr>
              <w:t>data.pii.security_level = 8</w:t>
            </w:r>
          </w:p>
        </w:tc>
      </w:tr>
      <w:tr>
        <w:trPr/>
        <w:tc>
          <w:tcPr>
            <w:tcW w:w="1599" w:type="dxa"/>
            <w:tcBorders>
              <w:top w:val="single" w:sz="2" w:space="0" w:color="CCCCCC"/>
              <w:start w:val="single" w:sz="2" w:space="0" w:color="CCCCCC"/>
              <w:bottom w:val="single" w:sz="2" w:space="0" w:color="CCCCCC"/>
              <w:end w:val="single" w:sz="2" w:space="0" w:color="CCCCCC"/>
            </w:tcBorders>
            <w:shd w:fill="F0F4F8" w:val="clear"/>
          </w:tcPr>
          <w:p>
            <w:pPr>
              <w:pStyle w:val="Normal"/>
              <w:rPr/>
            </w:pPr>
            <w:r>
              <w:rPr>
                <w:rFonts w:eastAsia="Arial" w:cs="Arial"/>
                <w:color w:val="333333"/>
                <w:sz w:val="20"/>
                <w:szCs w:val="20"/>
              </w:rPr>
              <w:t>boolean</w:t>
            </w:r>
          </w:p>
        </w:tc>
        <w:tc>
          <w:tcPr>
            <w:tcW w:w="2401" w:type="dxa"/>
            <w:tcBorders>
              <w:top w:val="single" w:sz="2" w:space="0" w:color="CCCCCC"/>
              <w:start w:val="single" w:sz="2" w:space="0" w:color="CCCCCC"/>
              <w:bottom w:val="single" w:sz="2" w:space="0" w:color="CCCCCC"/>
              <w:end w:val="single" w:sz="2" w:space="0" w:color="CCCCCC"/>
            </w:tcBorders>
            <w:shd w:fill="F0F4F8" w:val="clear"/>
          </w:tcPr>
          <w:p>
            <w:pPr>
              <w:pStyle w:val="Normal"/>
              <w:rPr/>
            </w:pPr>
            <w:r>
              <w:rPr>
                <w:rFonts w:eastAsia="Arial" w:cs="Arial"/>
                <w:color w:val="333333"/>
                <w:sz w:val="20"/>
                <w:szCs w:val="20"/>
              </w:rPr>
              <w:t>true / false</w:t>
            </w:r>
          </w:p>
        </w:tc>
        <w:tc>
          <w:tcPr>
            <w:tcW w:w="2400" w:type="dxa"/>
            <w:tcBorders>
              <w:top w:val="single" w:sz="2" w:space="0" w:color="CCCCCC"/>
              <w:start w:val="single" w:sz="2" w:space="0" w:color="CCCCCC"/>
              <w:bottom w:val="single" w:sz="2" w:space="0" w:color="CCCCCC"/>
              <w:end w:val="single" w:sz="2" w:space="0" w:color="CCCCCC"/>
            </w:tcBorders>
            <w:shd w:fill="F0F4F8" w:val="clear"/>
          </w:tcPr>
          <w:p>
            <w:pPr>
              <w:pStyle w:val="Normal"/>
              <w:rPr/>
            </w:pPr>
            <w:r>
              <w:rPr>
                <w:rFonts w:eastAsia="Arial" w:cs="Arial"/>
                <w:color w:val="333333"/>
                <w:sz w:val="20"/>
                <w:szCs w:val="20"/>
              </w:rPr>
              <w:t>==, !=</w:t>
            </w:r>
          </w:p>
        </w:tc>
        <w:tc>
          <w:tcPr>
            <w:tcW w:w="2960" w:type="dxa"/>
            <w:tcBorders>
              <w:top w:val="single" w:sz="2" w:space="0" w:color="CCCCCC"/>
              <w:start w:val="single" w:sz="2" w:space="0" w:color="CCCCCC"/>
              <w:bottom w:val="single" w:sz="2" w:space="0" w:color="CCCCCC"/>
              <w:end w:val="single" w:sz="2" w:space="0" w:color="CCCCCC"/>
            </w:tcBorders>
            <w:shd w:fill="F0F4F8" w:val="clear"/>
          </w:tcPr>
          <w:p>
            <w:pPr>
              <w:pStyle w:val="Normal"/>
              <w:rPr/>
            </w:pPr>
            <w:r>
              <w:rPr>
                <w:rFonts w:eastAsia="Arial" w:cs="Arial"/>
                <w:color w:val="333333"/>
                <w:sz w:val="20"/>
                <w:szCs w:val="20"/>
              </w:rPr>
              <w:t>lease.auto_renew = true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333333"/>
                <w:sz w:val="20"/>
                <w:szCs w:val="20"/>
              </w:rPr>
              <w:t>enum</w:t>
            </w:r>
          </w:p>
        </w:tc>
        <w:tc>
          <w:tcPr>
            <w:tcW w:w="2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333333"/>
                <w:sz w:val="20"/>
                <w:szCs w:val="20"/>
              </w:rPr>
              <w:t>Defined value set</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333333"/>
                <w:sz w:val="20"/>
                <w:szCs w:val="20"/>
              </w:rPr>
              <w:t>==, !=, in</w:t>
            </w:r>
          </w:p>
        </w:tc>
        <w:tc>
          <w:tcPr>
            <w:tcW w:w="2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333333"/>
                <w:sz w:val="20"/>
                <w:szCs w:val="20"/>
              </w:rPr>
              <w:t>data.pii.on_revoke = purge</w:t>
            </w:r>
          </w:p>
        </w:tc>
      </w:tr>
      <w:tr>
        <w:trPr/>
        <w:tc>
          <w:tcPr>
            <w:tcW w:w="1599" w:type="dxa"/>
            <w:tcBorders>
              <w:top w:val="single" w:sz="2" w:space="0" w:color="CCCCCC"/>
              <w:start w:val="single" w:sz="2" w:space="0" w:color="CCCCCC"/>
              <w:bottom w:val="single" w:sz="2" w:space="0" w:color="CCCCCC"/>
              <w:end w:val="single" w:sz="2" w:space="0" w:color="CCCCCC"/>
            </w:tcBorders>
            <w:shd w:fill="F0F4F8" w:val="clear"/>
          </w:tcPr>
          <w:p>
            <w:pPr>
              <w:pStyle w:val="Normal"/>
              <w:rPr/>
            </w:pPr>
            <w:r>
              <w:rPr>
                <w:rFonts w:eastAsia="Arial" w:cs="Arial"/>
                <w:color w:val="333333"/>
                <w:sz w:val="20"/>
                <w:szCs w:val="20"/>
              </w:rPr>
              <w:t>duration</w:t>
            </w:r>
          </w:p>
        </w:tc>
        <w:tc>
          <w:tcPr>
            <w:tcW w:w="2401" w:type="dxa"/>
            <w:tcBorders>
              <w:top w:val="single" w:sz="2" w:space="0" w:color="CCCCCC"/>
              <w:start w:val="single" w:sz="2" w:space="0" w:color="CCCCCC"/>
              <w:bottom w:val="single" w:sz="2" w:space="0" w:color="CCCCCC"/>
              <w:end w:val="single" w:sz="2" w:space="0" w:color="CCCCCC"/>
            </w:tcBorders>
            <w:shd w:fill="F0F4F8" w:val="clear"/>
          </w:tcPr>
          <w:p>
            <w:pPr>
              <w:pStyle w:val="Normal"/>
              <w:rPr/>
            </w:pPr>
            <w:r>
              <w:rPr>
                <w:rFonts w:eastAsia="Arial" w:cs="Arial"/>
                <w:color w:val="333333"/>
                <w:sz w:val="20"/>
                <w:szCs w:val="20"/>
              </w:rPr>
              <w:t>Integer + unit (days, hours)</w:t>
            </w:r>
          </w:p>
        </w:tc>
        <w:tc>
          <w:tcPr>
            <w:tcW w:w="2400" w:type="dxa"/>
            <w:tcBorders>
              <w:top w:val="single" w:sz="2" w:space="0" w:color="CCCCCC"/>
              <w:start w:val="single" w:sz="2" w:space="0" w:color="CCCCCC"/>
              <w:bottom w:val="single" w:sz="2" w:space="0" w:color="CCCCCC"/>
              <w:end w:val="single" w:sz="2" w:space="0" w:color="CCCCCC"/>
            </w:tcBorders>
            <w:shd w:fill="F0F4F8" w:val="clear"/>
          </w:tcPr>
          <w:p>
            <w:pPr>
              <w:pStyle w:val="Normal"/>
              <w:rPr/>
            </w:pPr>
            <w:r>
              <w:rPr>
                <w:rFonts w:eastAsia="Arial" w:cs="Arial"/>
                <w:color w:val="333333"/>
                <w:sz w:val="20"/>
                <w:szCs w:val="20"/>
              </w:rPr>
              <w:t>==, !=, &lt;, &gt;, &lt;=, &gt;=</w:t>
            </w:r>
          </w:p>
        </w:tc>
        <w:tc>
          <w:tcPr>
            <w:tcW w:w="2960" w:type="dxa"/>
            <w:tcBorders>
              <w:top w:val="single" w:sz="2" w:space="0" w:color="CCCCCC"/>
              <w:start w:val="single" w:sz="2" w:space="0" w:color="CCCCCC"/>
              <w:bottom w:val="single" w:sz="2" w:space="0" w:color="CCCCCC"/>
              <w:end w:val="single" w:sz="2" w:space="0" w:color="CCCCCC"/>
            </w:tcBorders>
            <w:shd w:fill="F0F4F8" w:val="clear"/>
          </w:tcPr>
          <w:p>
            <w:pPr>
              <w:pStyle w:val="Normal"/>
              <w:rPr/>
            </w:pPr>
            <w:r>
              <w:rPr>
                <w:rFonts w:eastAsia="Arial" w:cs="Arial"/>
                <w:color w:val="333333"/>
                <w:sz w:val="20"/>
                <w:szCs w:val="20"/>
              </w:rPr>
              <w:t>lease.term_days = 30</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333333"/>
                <w:sz w:val="20"/>
                <w:szCs w:val="20"/>
              </w:rPr>
              <w:t>string</w:t>
            </w:r>
          </w:p>
        </w:tc>
        <w:tc>
          <w:tcPr>
            <w:tcW w:w="2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333333"/>
                <w:sz w:val="20"/>
                <w:szCs w:val="20"/>
              </w:rPr>
              <w:t>UTF-8 text (descriptions only)</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333333"/>
                <w:sz w:val="20"/>
                <w:szCs w:val="20"/>
              </w:rPr>
              <w:t>N/A (not evaluated)</w:t>
            </w:r>
          </w:p>
        </w:tc>
        <w:tc>
          <w:tcPr>
            <w:tcW w:w="2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333333"/>
                <w:sz w:val="20"/>
                <w:szCs w:val="20"/>
              </w:rPr>
              <w:t>data.pii.description = "Personal..."</w:t>
            </w:r>
          </w:p>
        </w:tc>
      </w:tr>
    </w:tbl>
    <w:p>
      <w:pPr>
        <w:pStyle w:val="Normal"/>
        <w:spacing w:before="0" w:after="100"/>
        <w:rPr/>
      </w:pPr>
      <w:r>
        <w:rPr/>
      </w:r>
    </w:p>
    <w:p>
      <w:pPr>
        <w:pStyle w:val="Normal"/>
        <w:spacing w:before="240" w:after="120"/>
        <w:rPr/>
      </w:pPr>
      <w:r>
        <w:rPr>
          <w:rFonts w:eastAsia="Arial" w:cs="Arial"/>
          <w:b/>
          <w:bCs/>
          <w:color w:val="1B2A4A"/>
          <w:sz w:val="24"/>
          <w:szCs w:val="24"/>
        </w:rPr>
        <w:t>Action Enumerations</w:t>
      </w:r>
    </w:p>
    <w:p>
      <w:pPr>
        <w:pStyle w:val="Normal"/>
        <w:spacing w:before="0" w:after="160"/>
        <w:rPr/>
      </w:pPr>
      <w:r>
        <w:rPr>
          <w:rFonts w:eastAsia="Arial" w:cs="Arial"/>
          <w:color w:val="333333"/>
          <w:sz w:val="22"/>
          <w:szCs w:val="22"/>
        </w:rPr>
        <w:t>The on_revoke and on_expire attributes use a defined action set:</w:t>
      </w:r>
    </w:p>
    <w:tbl>
      <w:tblPr>
        <w:tblW w:w="9360" w:type="dxa"/>
        <w:jc w:val="start"/>
        <w:tblInd w:w="0" w:type="dxa"/>
        <w:tblLayout w:type="fixed"/>
        <w:tblCellMar>
          <w:top w:w="60" w:type="dxa"/>
          <w:start w:w="100" w:type="dxa"/>
          <w:bottom w:w="60" w:type="dxa"/>
          <w:end w:w="100" w:type="dxa"/>
        </w:tblCellMar>
      </w:tblPr>
      <w:tblGrid>
        <w:gridCol w:w="2000"/>
        <w:gridCol w:w="7360"/>
      </w:tblGrid>
      <w:tr>
        <w:trPr/>
        <w:tc>
          <w:tcPr>
            <w:tcW w:w="20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Action</w:t>
            </w:r>
          </w:p>
        </w:tc>
        <w:tc>
          <w:tcPr>
            <w:tcW w:w="736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Behavior</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333333"/>
                <w:sz w:val="20"/>
                <w:szCs w:val="20"/>
              </w:rPr>
              <w:t>purge</w:t>
            </w:r>
          </w:p>
        </w:tc>
        <w:tc>
          <w:tcPr>
            <w:tcW w:w="73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333333"/>
                <w:sz w:val="20"/>
                <w:szCs w:val="20"/>
              </w:rPr>
              <w:t>Remove institutional DEK wrappings immediately. Data becomes undecryptable to the institution.</w:t>
            </w:r>
          </w:p>
        </w:tc>
      </w:tr>
      <w:tr>
        <w:trPr/>
        <w:tc>
          <w:tcPr>
            <w:tcW w:w="2000" w:type="dxa"/>
            <w:tcBorders>
              <w:top w:val="single" w:sz="2" w:space="0" w:color="CCCCCC"/>
              <w:start w:val="single" w:sz="2" w:space="0" w:color="CCCCCC"/>
              <w:bottom w:val="single" w:sz="2" w:space="0" w:color="CCCCCC"/>
              <w:end w:val="single" w:sz="2" w:space="0" w:color="CCCCCC"/>
            </w:tcBorders>
            <w:shd w:fill="F0F4F8" w:val="clear"/>
          </w:tcPr>
          <w:p>
            <w:pPr>
              <w:pStyle w:val="Normal"/>
              <w:rPr/>
            </w:pPr>
            <w:r>
              <w:rPr>
                <w:rFonts w:eastAsia="Arial" w:cs="Arial"/>
                <w:color w:val="333333"/>
                <w:sz w:val="20"/>
                <w:szCs w:val="20"/>
              </w:rPr>
              <w:t>purge(N)</w:t>
            </w:r>
          </w:p>
        </w:tc>
        <w:tc>
          <w:tcPr>
            <w:tcW w:w="7360" w:type="dxa"/>
            <w:tcBorders>
              <w:top w:val="single" w:sz="2" w:space="0" w:color="CCCCCC"/>
              <w:start w:val="single" w:sz="2" w:space="0" w:color="CCCCCC"/>
              <w:bottom w:val="single" w:sz="2" w:space="0" w:color="CCCCCC"/>
              <w:end w:val="single" w:sz="2" w:space="0" w:color="CCCCCC"/>
            </w:tcBorders>
            <w:shd w:fill="F0F4F8" w:val="clear"/>
          </w:tcPr>
          <w:p>
            <w:pPr>
              <w:pStyle w:val="Normal"/>
              <w:rPr/>
            </w:pPr>
            <w:r>
              <w:rPr>
                <w:rFonts w:eastAsia="Arial" w:cs="Arial"/>
                <w:color w:val="333333"/>
                <w:sz w:val="20"/>
                <w:szCs w:val="20"/>
              </w:rPr>
              <w:t>Remove institutional DEK wrappings after N-day grace period.</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333333"/>
                <w:sz w:val="20"/>
                <w:szCs w:val="20"/>
              </w:rPr>
              <w:t>retain</w:t>
            </w:r>
          </w:p>
        </w:tc>
        <w:tc>
          <w:tcPr>
            <w:tcW w:w="73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333333"/>
                <w:sz w:val="20"/>
                <w:szCs w:val="20"/>
              </w:rPr>
              <w:t>Maintain institutional access under the declared retention terms (duration, security level, legal basis).</w:t>
            </w:r>
          </w:p>
        </w:tc>
      </w:tr>
      <w:tr>
        <w:trPr/>
        <w:tc>
          <w:tcPr>
            <w:tcW w:w="2000" w:type="dxa"/>
            <w:tcBorders>
              <w:top w:val="single" w:sz="2" w:space="0" w:color="CCCCCC"/>
              <w:start w:val="single" w:sz="2" w:space="0" w:color="CCCCCC"/>
              <w:bottom w:val="single" w:sz="2" w:space="0" w:color="CCCCCC"/>
              <w:end w:val="single" w:sz="2" w:space="0" w:color="CCCCCC"/>
            </w:tcBorders>
            <w:shd w:fill="F0F4F8" w:val="clear"/>
          </w:tcPr>
          <w:p>
            <w:pPr>
              <w:pStyle w:val="Normal"/>
              <w:rPr/>
            </w:pPr>
            <w:r>
              <w:rPr>
                <w:rFonts w:eastAsia="Arial" w:cs="Arial"/>
                <w:color w:val="333333"/>
                <w:sz w:val="20"/>
                <w:szCs w:val="20"/>
              </w:rPr>
              <w:t>downgrade(L)</w:t>
            </w:r>
          </w:p>
        </w:tc>
        <w:tc>
          <w:tcPr>
            <w:tcW w:w="7360" w:type="dxa"/>
            <w:tcBorders>
              <w:top w:val="single" w:sz="2" w:space="0" w:color="CCCCCC"/>
              <w:start w:val="single" w:sz="2" w:space="0" w:color="CCCCCC"/>
              <w:bottom w:val="single" w:sz="2" w:space="0" w:color="CCCCCC"/>
              <w:end w:val="single" w:sz="2" w:space="0" w:color="CCCCCC"/>
            </w:tcBorders>
            <w:shd w:fill="F0F4F8" w:val="clear"/>
          </w:tcPr>
          <w:p>
            <w:pPr>
              <w:pStyle w:val="Normal"/>
              <w:rPr/>
            </w:pPr>
            <w:r>
              <w:rPr>
                <w:rFonts w:eastAsia="Arial" w:cs="Arial"/>
                <w:color w:val="333333"/>
                <w:sz w:val="20"/>
                <w:szCs w:val="20"/>
              </w:rPr>
              <w:t>Change security level to L. Higher security, more restricted access. Useful for archival.</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333333"/>
                <w:sz w:val="20"/>
                <w:szCs w:val="20"/>
              </w:rPr>
              <w:t>hash</w:t>
            </w:r>
          </w:p>
        </w:tc>
        <w:tc>
          <w:tcPr>
            <w:tcW w:w="73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333333"/>
                <w:sz w:val="20"/>
                <w:szCs w:val="20"/>
              </w:rPr>
              <w:t>Replace plaintext with cryptographic hash. Institutional proof of data existence without content access.</w:t>
            </w:r>
          </w:p>
        </w:tc>
      </w:tr>
      <w:tr>
        <w:trPr/>
        <w:tc>
          <w:tcPr>
            <w:tcW w:w="2000" w:type="dxa"/>
            <w:tcBorders>
              <w:top w:val="single" w:sz="2" w:space="0" w:color="CCCCCC"/>
              <w:start w:val="single" w:sz="2" w:space="0" w:color="CCCCCC"/>
              <w:bottom w:val="single" w:sz="2" w:space="0" w:color="CCCCCC"/>
              <w:end w:val="single" w:sz="2" w:space="0" w:color="CCCCCC"/>
            </w:tcBorders>
            <w:shd w:fill="F0F4F8" w:val="clear"/>
          </w:tcPr>
          <w:p>
            <w:pPr>
              <w:pStyle w:val="Normal"/>
              <w:rPr/>
            </w:pPr>
            <w:r>
              <w:rPr>
                <w:rFonts w:eastAsia="Arial" w:cs="Arial"/>
                <w:color w:val="333333"/>
                <w:sz w:val="20"/>
                <w:szCs w:val="20"/>
              </w:rPr>
              <w:t>redact</w:t>
            </w:r>
          </w:p>
        </w:tc>
        <w:tc>
          <w:tcPr>
            <w:tcW w:w="7360" w:type="dxa"/>
            <w:tcBorders>
              <w:top w:val="single" w:sz="2" w:space="0" w:color="CCCCCC"/>
              <w:start w:val="single" w:sz="2" w:space="0" w:color="CCCCCC"/>
              <w:bottom w:val="single" w:sz="2" w:space="0" w:color="CCCCCC"/>
              <w:end w:val="single" w:sz="2" w:space="0" w:color="CCCCCC"/>
            </w:tcBorders>
            <w:shd w:fill="F0F4F8" w:val="clear"/>
          </w:tcPr>
          <w:p>
            <w:pPr>
              <w:pStyle w:val="Normal"/>
              <w:rPr/>
            </w:pPr>
            <w:r>
              <w:rPr>
                <w:rFonts w:eastAsia="Arial" w:cs="Arial"/>
                <w:color w:val="333333"/>
                <w:sz w:val="20"/>
                <w:szCs w:val="20"/>
              </w:rPr>
              <w:t>Replace with redacted summary (ghost quantum). Institution sees proof of category, not content.</w:t>
            </w:r>
          </w:p>
        </w:tc>
      </w:tr>
    </w:tbl>
    <w:p>
      <w:pPr>
        <w:pStyle w:val="Heading2"/>
        <w:spacing w:before="300" w:after="180"/>
        <w:rPr/>
      </w:pPr>
      <w:r>
        <w:rPr>
          <w:rFonts w:eastAsia="Arial" w:cs="Arial" w:ascii="Arial" w:hAnsi="Arial"/>
          <w:b/>
          <w:bCs/>
          <w:color w:val="1B2A4A"/>
          <w:sz w:val="28"/>
          <w:szCs w:val="28"/>
        </w:rPr>
        <w:t>3.4 Machine Execution</w:t>
      </w:r>
    </w:p>
    <w:p>
      <w:pPr>
        <w:pStyle w:val="Normal"/>
        <w:spacing w:before="0" w:after="160"/>
        <w:rPr/>
      </w:pPr>
      <w:r>
        <w:rPr>
          <w:rFonts w:eastAsia="Arial" w:cs="Arial"/>
          <w:color w:val="333333"/>
          <w:sz w:val="22"/>
          <w:szCs w:val="22"/>
        </w:rPr>
        <w:t>The policy attribute set compiles to a binary format loadable by the Bonafide runtime and, on Classification S deployments, by the HSM's Security Enforcer IP block. The binary format is a lookup table of attribute-value pairs that the enforcement engine evaluates as gate conditions: integer comparisons, boolean checks, and enum lookups. No loops, no function calls, no complex branching.</w:t>
      </w:r>
    </w:p>
    <w:p>
      <w:pPr>
        <w:pStyle w:val="Normal"/>
        <w:spacing w:before="0" w:after="160"/>
        <w:rPr/>
      </w:pPr>
      <w:r>
        <w:rPr>
          <w:rFonts w:eastAsia="Arial" w:cs="Arial"/>
          <w:color w:val="333333"/>
          <w:sz w:val="22"/>
          <w:szCs w:val="22"/>
        </w:rPr>
        <w:t>The specification defines the binary format. How institutions author the policy (YAML, XML, GUI, or any other tool) is an implementation concern.</w:t>
      </w:r>
    </w:p>
    <w:p>
      <w:pPr>
        <w:pStyle w:val="Heading2"/>
        <w:spacing w:before="300" w:after="180"/>
        <w:rPr/>
      </w:pPr>
      <w:r>
        <w:rPr>
          <w:rFonts w:eastAsia="Arial" w:cs="Arial" w:ascii="Arial" w:hAnsi="Arial"/>
          <w:b/>
          <w:bCs/>
          <w:color w:val="1B2A4A"/>
          <w:sz w:val="28"/>
          <w:szCs w:val="28"/>
        </w:rPr>
        <w:t>3.5 Hierarchical Policy Resolution</w:t>
      </w:r>
    </w:p>
    <w:p>
      <w:pPr>
        <w:pStyle w:val="Normal"/>
        <w:spacing w:before="0" w:after="160"/>
        <w:rPr/>
      </w:pPr>
      <w:r>
        <w:rPr>
          <w:rFonts w:eastAsia="Arial" w:cs="Arial"/>
          <w:color w:val="333333"/>
          <w:sz w:val="22"/>
          <w:szCs w:val="22"/>
        </w:rPr>
        <w:t>Policies can inherit from parent policies using a hierarchical namespace path. A base policy defines defaults. Sector-specific and jurisdiction-specific policies override specific attributes. The final resolved attribute set is the policy that governs the branch.</w:t>
      </w:r>
    </w:p>
    <w:p>
      <w:pPr>
        <w:pStyle w:val="Normal"/>
        <w:spacing w:before="0" w:after="160"/>
        <w:rPr/>
      </w:pPr>
      <w:r>
        <w:rPr>
          <w:rFonts w:eastAsia="Arial" w:cs="Arial"/>
          <w:color w:val="333333"/>
          <w:sz w:val="22"/>
          <w:szCs w:val="22"/>
        </w:rPr>
        <w:t>Resolution order: most specific wins. Constitutional minimums always override. Conflicts between same-level policies are rejected—the institution must resolve ambiguity before publication.</w:t>
      </w:r>
    </w:p>
    <w:p>
      <w:pPr>
        <w:pStyle w:val="Normal"/>
        <w:spacing w:before="0" w:after="160"/>
        <w:rPr/>
      </w:pPr>
      <w:r>
        <w:rPr>
          <w:rFonts w:eastAsia="Arial" w:cs="Arial"/>
          <w:color w:val="333333"/>
          <w:sz w:val="22"/>
          <w:szCs w:val="22"/>
        </w:rPr>
        <w:t>The specification defines the resolution algorithm. The Foundation does not maintain the hierarchy—institutions and industry groups maintain their own policy trees.</w:t>
      </w:r>
    </w:p>
    <w:p>
      <w:pPr>
        <w:pStyle w:val="Normal"/>
        <w:rPr/>
      </w:pPr>
      <w:r>
        <w:rPr/>
      </w:r>
      <w:r>
        <w:br w:type="page"/>
      </w:r>
    </w:p>
    <w:p>
      <w:pPr>
        <w:pStyle w:val="Heading1"/>
        <w:spacing w:before="0" w:after="200"/>
        <w:rPr/>
      </w:pPr>
      <w:r>
        <w:rPr>
          <w:rFonts w:eastAsia="Arial" w:cs="Arial" w:ascii="Arial" w:hAnsi="Arial"/>
          <w:b/>
          <w:bCs/>
          <w:color w:val="1B2A4A"/>
          <w:sz w:val="32"/>
          <w:szCs w:val="32"/>
        </w:rPr>
        <w:t>4. Institutional Transfer Protocol</w:t>
      </w:r>
    </w:p>
    <w:p>
      <w:pPr>
        <w:pStyle w:val="Heading2"/>
        <w:spacing w:before="300" w:after="180"/>
        <w:rPr/>
      </w:pPr>
      <w:r>
        <w:rPr>
          <w:rFonts w:eastAsia="Arial" w:cs="Arial" w:ascii="Arial" w:hAnsi="Arial"/>
          <w:b/>
          <w:bCs/>
          <w:color w:val="1B2A4A"/>
          <w:sz w:val="28"/>
          <w:szCs w:val="28"/>
        </w:rPr>
        <w:t>4.1 When Transfers Occur</w:t>
      </w:r>
    </w:p>
    <w:p>
      <w:pPr>
        <w:pStyle w:val="Normal"/>
        <w:spacing w:before="0" w:after="160"/>
        <w:rPr/>
      </w:pPr>
      <w:r>
        <w:rPr>
          <w:rFonts w:eastAsia="Arial" w:cs="Arial"/>
          <w:color w:val="333333"/>
          <w:sz w:val="22"/>
          <w:szCs w:val="22"/>
        </w:rPr>
        <w:t>Institutional transfers occur when a user's branch data changes hands: acquisitions, mergers, divestitures, regulatory receivership, or voluntary institution-to-institution migration. The Bonafide protocol does not allow automatic inheritance of branch data. Every transfer requires explicit user action.</w:t>
      </w:r>
    </w:p>
    <w:p>
      <w:pPr>
        <w:pStyle w:val="Heading2"/>
        <w:spacing w:before="300" w:after="180"/>
        <w:rPr/>
      </w:pPr>
      <w:r>
        <w:rPr>
          <w:rFonts w:eastAsia="Arial" w:cs="Arial" w:ascii="Arial" w:hAnsi="Arial"/>
          <w:b/>
          <w:bCs/>
          <w:color w:val="1B2A4A"/>
          <w:sz w:val="28"/>
          <w:szCs w:val="28"/>
        </w:rPr>
        <w:t>4.2 Transfer Flow</w:t>
      </w:r>
    </w:p>
    <w:p>
      <w:pPr>
        <w:pStyle w:val="Normal"/>
        <w:spacing w:before="240" w:after="120"/>
        <w:rPr/>
      </w:pPr>
      <w:r>
        <w:rPr>
          <w:rFonts w:eastAsia="Arial" w:cs="Arial"/>
          <w:b/>
          <w:bCs/>
          <w:color w:val="1B2A4A"/>
          <w:sz w:val="24"/>
          <w:szCs w:val="24"/>
        </w:rPr>
        <w:t>Step 1 — Transfer Intent</w:t>
      </w:r>
    </w:p>
    <w:p>
      <w:pPr>
        <w:pStyle w:val="Normal"/>
        <w:spacing w:before="0" w:after="160"/>
        <w:rPr/>
      </w:pPr>
      <w:r>
        <w:rPr>
          <w:rFonts w:eastAsia="Arial" w:cs="Arial"/>
          <w:color w:val="333333"/>
          <w:sz w:val="22"/>
          <w:szCs w:val="22"/>
        </w:rPr>
        <w:t>Institution A publishes a transfer intent to the ledger: the target institution (B), the effective date, and Institution B's published branch policy. This is a protocol-level event recorded on the ledger.</w:t>
      </w:r>
    </w:p>
    <w:p>
      <w:pPr>
        <w:pStyle w:val="Normal"/>
        <w:spacing w:before="240" w:after="120"/>
        <w:rPr/>
      </w:pPr>
      <w:r>
        <w:rPr>
          <w:rFonts w:eastAsia="Arial" w:cs="Arial"/>
          <w:b/>
          <w:bCs/>
          <w:color w:val="1B2A4A"/>
          <w:sz w:val="24"/>
          <w:szCs w:val="24"/>
        </w:rPr>
        <w:t>Step 2 — Policy Comparison</w:t>
      </w:r>
    </w:p>
    <w:p>
      <w:pPr>
        <w:pStyle w:val="Normal"/>
        <w:spacing w:before="0" w:after="160"/>
        <w:rPr/>
      </w:pPr>
      <w:r>
        <w:rPr>
          <w:rFonts w:eastAsia="Arial" w:cs="Arial"/>
          <w:color w:val="333333"/>
          <w:sz w:val="22"/>
          <w:szCs w:val="22"/>
        </w:rPr>
        <w:t>The Bonafide protocol compares Institution A's policy (the one the user agreed to) against Institution B's policy. Differences are categorized: equivalent, improvement, or material change. Jurisdiction changes are flagged as critical events regardless of other attributes.</w:t>
      </w:r>
    </w:p>
    <w:p>
      <w:pPr>
        <w:pStyle w:val="Normal"/>
        <w:spacing w:before="240" w:after="120"/>
        <w:rPr/>
      </w:pPr>
      <w:r>
        <w:rPr>
          <w:rFonts w:eastAsia="Arial" w:cs="Arial"/>
          <w:b/>
          <w:bCs/>
          <w:color w:val="1B2A4A"/>
          <w:sz w:val="24"/>
          <w:szCs w:val="24"/>
        </w:rPr>
        <w:t>Step 3 — User Notification</w:t>
      </w:r>
    </w:p>
    <w:p>
      <w:pPr>
        <w:pStyle w:val="Normal"/>
        <w:spacing w:before="0" w:after="160"/>
        <w:rPr/>
      </w:pPr>
      <w:r>
        <w:rPr>
          <w:rFonts w:eastAsia="Arial" w:cs="Arial"/>
          <w:color w:val="333333"/>
          <w:sz w:val="22"/>
          <w:szCs w:val="22"/>
        </w:rPr>
        <w:t>The user receives a protocol-level notification describing the transfer and the policy comparison. The notification includes: the transferring and receiving institutions, a summary of policy differences, and the user's options.</w:t>
      </w:r>
    </w:p>
    <w:p>
      <w:pPr>
        <w:pStyle w:val="Normal"/>
        <w:spacing w:before="240" w:after="120"/>
        <w:rPr/>
      </w:pPr>
      <w:r>
        <w:rPr>
          <w:rFonts w:eastAsia="Arial" w:cs="Arial"/>
          <w:b/>
          <w:bCs/>
          <w:color w:val="1B2A4A"/>
          <w:sz w:val="24"/>
          <w:szCs w:val="24"/>
        </w:rPr>
        <w:t>Step 4 — User Decision</w:t>
      </w:r>
    </w:p>
    <w:p>
      <w:pPr>
        <w:pStyle w:val="Normal"/>
        <w:spacing w:before="0" w:after="160"/>
        <w:rPr/>
      </w:pPr>
      <w:r>
        <w:rPr>
          <w:rFonts w:eastAsia="Arial" w:cs="Arial"/>
          <w:color w:val="333333"/>
          <w:sz w:val="22"/>
          <w:szCs w:val="22"/>
        </w:rPr>
        <w:t>The user has two options:</w:t>
      </w:r>
    </w:p>
    <w:p>
      <w:pPr>
        <w:pStyle w:val="ListParagraph"/>
        <w:numPr>
          <w:ilvl w:val="0"/>
          <w:numId w:val="1"/>
        </w:numPr>
        <w:spacing w:before="0" w:after="100"/>
        <w:rPr/>
      </w:pPr>
      <w:r>
        <w:rPr>
          <w:rFonts w:eastAsia="Arial" w:cs="Arial"/>
          <w:b/>
          <w:bCs/>
          <w:i w:val="false"/>
          <w:iCs w:val="false"/>
          <w:color w:val="333333"/>
          <w:sz w:val="22"/>
          <w:szCs w:val="22"/>
        </w:rPr>
        <w:t xml:space="preserve">Accept: </w:t>
      </w:r>
      <w:r>
        <w:rPr>
          <w:rFonts w:eastAsia="Arial" w:cs="Arial"/>
          <w:b w:val="false"/>
          <w:bCs w:val="false"/>
          <w:i w:val="false"/>
          <w:iCs w:val="false"/>
          <w:color w:val="333333"/>
          <w:sz w:val="22"/>
          <w:szCs w:val="22"/>
        </w:rPr>
        <w:t>Data transfers to Institution B under Institution B's policy. A new lease is established with Institution B. Institution A's lease is revoked.</w:t>
      </w:r>
    </w:p>
    <w:p>
      <w:pPr>
        <w:pStyle w:val="ListParagraph"/>
        <w:numPr>
          <w:ilvl w:val="0"/>
          <w:numId w:val="1"/>
        </w:numPr>
        <w:spacing w:before="0" w:after="100"/>
        <w:rPr/>
      </w:pPr>
      <w:r>
        <w:rPr>
          <w:rFonts w:eastAsia="Arial" w:cs="Arial"/>
          <w:b/>
          <w:bCs/>
          <w:i w:val="false"/>
          <w:iCs w:val="false"/>
          <w:color w:val="333333"/>
          <w:sz w:val="22"/>
          <w:szCs w:val="22"/>
        </w:rPr>
        <w:t xml:space="preserve">Reject: </w:t>
      </w:r>
      <w:r>
        <w:rPr>
          <w:rFonts w:eastAsia="Arial" w:cs="Arial"/>
          <w:b w:val="false"/>
          <w:bCs w:val="false"/>
          <w:i w:val="false"/>
          <w:iCs w:val="false"/>
          <w:color w:val="333333"/>
          <w:sz w:val="22"/>
          <w:szCs w:val="22"/>
        </w:rPr>
        <w:t>The branch is closed under Institution A's original policy terms. Revocation and retention rules from the original policy govern. The user's private vault copy (if synced) becomes the canonical copy.</w:t>
      </w:r>
    </w:p>
    <w:p>
      <w:pPr>
        <w:pStyle w:val="Normal"/>
        <w:spacing w:before="240" w:after="120"/>
        <w:rPr/>
      </w:pPr>
      <w:r>
        <w:rPr>
          <w:rFonts w:eastAsia="Arial" w:cs="Arial"/>
          <w:b/>
          <w:bCs/>
          <w:color w:val="1B2A4A"/>
          <w:sz w:val="24"/>
          <w:szCs w:val="24"/>
        </w:rPr>
        <w:t>Step 5 — Default on Silence</w:t>
      </w:r>
    </w:p>
    <w:p>
      <w:pPr>
        <w:pStyle w:val="Normal"/>
        <w:spacing w:before="0" w:after="160"/>
        <w:rPr/>
      </w:pPr>
      <w:r>
        <w:rPr>
          <w:rFonts w:eastAsia="Arial" w:cs="Arial"/>
          <w:color w:val="333333"/>
          <w:sz w:val="22"/>
          <w:szCs w:val="22"/>
        </w:rPr>
        <w:t>If the user does not respond within the notice period (declared in the branch policy, default: 60 days), the default action is reject. Silence is not consent. The branch is closed under the original policy terms.</w:t>
      </w:r>
    </w:p>
    <w:p>
      <w:pPr>
        <w:pStyle w:val="Heading2"/>
        <w:spacing w:before="300" w:after="180"/>
        <w:rPr/>
      </w:pPr>
      <w:r>
        <w:rPr>
          <w:rFonts w:eastAsia="Arial" w:cs="Arial" w:ascii="Arial" w:hAnsi="Arial"/>
          <w:b/>
          <w:bCs/>
          <w:color w:val="1B2A4A"/>
          <w:sz w:val="28"/>
          <w:szCs w:val="28"/>
        </w:rPr>
        <w:t>4.3 Transfer and Lease Mechanics</w:t>
      </w:r>
    </w:p>
    <w:p>
      <w:pPr>
        <w:pStyle w:val="Normal"/>
        <w:spacing w:before="0" w:after="160"/>
        <w:rPr/>
      </w:pPr>
      <w:r>
        <w:rPr>
          <w:rFonts w:eastAsia="Arial" w:cs="Arial"/>
          <w:color w:val="333333"/>
          <w:sz w:val="22"/>
          <w:szCs w:val="22"/>
        </w:rPr>
        <w:t>A transfer is a lease revocation on Institution A followed by a lease grant to Institution B. The user's key wrappings are unaffected. Institution A's DEK wrappings are removed. Institution B's DEK wrappings are created from the new lease. The transfer event is recorded in the ledger.</w:t>
      </w:r>
    </w:p>
    <w:p>
      <w:pPr>
        <w:pStyle w:val="Normal"/>
        <w:rPr/>
      </w:pPr>
      <w:r>
        <w:rPr/>
      </w:r>
      <w:r>
        <w:br w:type="page"/>
      </w:r>
    </w:p>
    <w:p>
      <w:pPr>
        <w:pStyle w:val="Heading1"/>
        <w:spacing w:before="0" w:after="200"/>
        <w:rPr/>
      </w:pPr>
      <w:r>
        <w:rPr>
          <w:rFonts w:eastAsia="Arial" w:cs="Arial" w:ascii="Arial" w:hAnsi="Arial"/>
          <w:b/>
          <w:bCs/>
          <w:color w:val="1B2A4A"/>
          <w:sz w:val="32"/>
          <w:szCs w:val="32"/>
        </w:rPr>
        <w:t>5. Policy Immutability</w:t>
      </w:r>
    </w:p>
    <w:p>
      <w:pPr>
        <w:pStyle w:val="Heading2"/>
        <w:spacing w:before="300" w:after="180"/>
        <w:rPr/>
      </w:pPr>
      <w:r>
        <w:rPr>
          <w:rFonts w:eastAsia="Arial" w:cs="Arial" w:ascii="Arial" w:hAnsi="Arial"/>
          <w:b/>
          <w:bCs/>
          <w:color w:val="1B2A4A"/>
          <w:sz w:val="28"/>
          <w:szCs w:val="28"/>
        </w:rPr>
        <w:t>5.1 Principle</w:t>
      </w:r>
    </w:p>
    <w:p>
      <w:pPr>
        <w:pStyle w:val="Normal"/>
        <w:spacing w:before="0" w:after="160"/>
        <w:rPr/>
      </w:pPr>
      <w:r>
        <w:rPr>
          <w:rFonts w:eastAsia="Arial" w:cs="Arial"/>
          <w:color w:val="333333"/>
          <w:sz w:val="22"/>
          <w:szCs w:val="22"/>
        </w:rPr>
        <w:t>An institution cannot unilaterally change the branch policy the user agreed to. If an institution wants to update their retention terms, change their data classification, or alter any policy attribute, they must:</w:t>
      </w:r>
    </w:p>
    <w:p>
      <w:pPr>
        <w:pStyle w:val="ListParagraph"/>
        <w:numPr>
          <w:ilvl w:val="0"/>
          <w:numId w:val="1"/>
        </w:numPr>
        <w:spacing w:before="0" w:after="100"/>
        <w:rPr/>
      </w:pPr>
      <w:r>
        <w:rPr>
          <w:rFonts w:eastAsia="Arial" w:cs="Arial"/>
          <w:b w:val="false"/>
          <w:bCs w:val="false"/>
          <w:i w:val="false"/>
          <w:iCs w:val="false"/>
          <w:color w:val="333333"/>
          <w:sz w:val="22"/>
          <w:szCs w:val="22"/>
        </w:rPr>
        <w:t>Publish a new policy version to the ledger (cryptographically signed, timestamped).</w:t>
      </w:r>
    </w:p>
    <w:p>
      <w:pPr>
        <w:pStyle w:val="ListParagraph"/>
        <w:numPr>
          <w:ilvl w:val="0"/>
          <w:numId w:val="1"/>
        </w:numPr>
        <w:spacing w:before="0" w:after="100"/>
        <w:rPr/>
      </w:pPr>
      <w:r>
        <w:rPr>
          <w:rFonts w:eastAsia="Arial" w:cs="Arial"/>
          <w:b w:val="false"/>
          <w:bCs w:val="false"/>
          <w:i w:val="false"/>
          <w:iCs w:val="false"/>
          <w:color w:val="333333"/>
          <w:sz w:val="22"/>
          <w:szCs w:val="22"/>
        </w:rPr>
        <w:t>Notify the user through the Bonafide protocol.</w:t>
      </w:r>
    </w:p>
    <w:p>
      <w:pPr>
        <w:pStyle w:val="ListParagraph"/>
        <w:numPr>
          <w:ilvl w:val="0"/>
          <w:numId w:val="1"/>
        </w:numPr>
        <w:spacing w:before="0" w:after="100"/>
        <w:rPr/>
      </w:pPr>
      <w:r>
        <w:rPr>
          <w:rFonts w:eastAsia="Arial" w:cs="Arial"/>
          <w:b w:val="false"/>
          <w:bCs w:val="false"/>
          <w:i w:val="false"/>
          <w:iCs w:val="false"/>
          <w:color w:val="333333"/>
          <w:sz w:val="22"/>
          <w:szCs w:val="22"/>
        </w:rPr>
        <w:t>Receive the user's explicit acceptance.</w:t>
      </w:r>
    </w:p>
    <w:p>
      <w:pPr>
        <w:pStyle w:val="Normal"/>
        <w:spacing w:before="0" w:after="160"/>
        <w:rPr/>
      </w:pPr>
      <w:r>
        <w:rPr>
          <w:rFonts w:eastAsia="Arial" w:cs="Arial"/>
          <w:color w:val="333333"/>
          <w:sz w:val="22"/>
          <w:szCs w:val="22"/>
        </w:rPr>
        <w:t>If the user rejects the update, the original policy remains in force for that user's branch. The institution may offer the new policy to new users. Existing users retain their original terms until they explicitly accept new ones.</w:t>
      </w:r>
    </w:p>
    <w:p>
      <w:pPr>
        <w:pStyle w:val="Heading2"/>
        <w:spacing w:before="300" w:after="180"/>
        <w:rPr/>
      </w:pPr>
      <w:r>
        <w:rPr>
          <w:rFonts w:eastAsia="Arial" w:cs="Arial" w:ascii="Arial" w:hAnsi="Arial"/>
          <w:b/>
          <w:bCs/>
          <w:color w:val="1B2A4A"/>
          <w:sz w:val="28"/>
          <w:szCs w:val="28"/>
        </w:rPr>
        <w:t>5.2 Policy Versioning</w:t>
      </w:r>
    </w:p>
    <w:p>
      <w:pPr>
        <w:pStyle w:val="Normal"/>
        <w:spacing w:before="0" w:after="160"/>
        <w:rPr/>
      </w:pPr>
      <w:r>
        <w:rPr>
          <w:rFonts w:eastAsia="Arial" w:cs="Arial"/>
          <w:color w:val="333333"/>
          <w:sz w:val="22"/>
          <w:szCs w:val="22"/>
        </w:rPr>
        <w:t>Every policy version is recorded on the ledger with a cryptographic hash, the publishing institution's signature, and a timestamp. The ledger provides an immutable history of every policy the institution has published and every version each user has accepted.</w:t>
      </w:r>
    </w:p>
    <w:p>
      <w:pPr>
        <w:pStyle w:val="Normal"/>
        <w:spacing w:before="0" w:after="160"/>
        <w:rPr/>
      </w:pPr>
      <w:r>
        <w:rPr>
          <w:rFonts w:eastAsia="Arial" w:cs="Arial"/>
          <w:color w:val="333333"/>
          <w:sz w:val="22"/>
          <w:szCs w:val="22"/>
        </w:rPr>
        <w:t>The user's vault interface shows which policy version governs each branch and alerts the user to pending policy update requests.</w:t>
      </w:r>
    </w:p>
    <w:p>
      <w:pPr>
        <w:pStyle w:val="Heading2"/>
        <w:spacing w:before="300" w:after="180"/>
        <w:rPr/>
      </w:pPr>
      <w:r>
        <w:rPr>
          <w:rFonts w:eastAsia="Arial" w:cs="Arial" w:ascii="Arial" w:hAnsi="Arial"/>
          <w:b/>
          <w:bCs/>
          <w:color w:val="1B2A4A"/>
          <w:sz w:val="28"/>
          <w:szCs w:val="28"/>
        </w:rPr>
        <w:t>5.3 Grandfathering</w:t>
      </w:r>
    </w:p>
    <w:p>
      <w:pPr>
        <w:pStyle w:val="Normal"/>
        <w:spacing w:before="0" w:after="160"/>
        <w:rPr/>
      </w:pPr>
      <w:r>
        <w:rPr>
          <w:rFonts w:eastAsia="Arial" w:cs="Arial"/>
          <w:color w:val="333333"/>
          <w:sz w:val="22"/>
          <w:szCs w:val="22"/>
        </w:rPr>
        <w:t>Multiple policy versions can coexist for the same institution. User A accepted policy v1. User B accepted policy v3. Both are active simultaneously. The institution's runtime enforces the correct policy version per user. The HSM's Security Enforcer evaluates the correct attribute set per branch.</w:t>
      </w:r>
    </w:p>
    <w:p>
      <w:pPr>
        <w:pStyle w:val="Normal"/>
        <w:rPr/>
      </w:pPr>
      <w:r>
        <w:rPr/>
      </w:r>
      <w:r>
        <w:br w:type="page"/>
      </w:r>
    </w:p>
    <w:p>
      <w:pPr>
        <w:pStyle w:val="Heading1"/>
        <w:spacing w:before="0" w:after="200"/>
        <w:rPr/>
      </w:pPr>
      <w:r>
        <w:rPr>
          <w:rFonts w:eastAsia="Arial" w:cs="Arial" w:ascii="Arial" w:hAnsi="Arial"/>
          <w:b/>
          <w:bCs/>
          <w:color w:val="1B2A4A"/>
          <w:sz w:val="32"/>
          <w:szCs w:val="32"/>
        </w:rPr>
        <w:t>6. User-Consented Retention</w:t>
      </w:r>
    </w:p>
    <w:p>
      <w:pPr>
        <w:pStyle w:val="Heading2"/>
        <w:spacing w:before="300" w:after="180"/>
        <w:rPr/>
      </w:pPr>
      <w:r>
        <w:rPr>
          <w:rFonts w:eastAsia="Arial" w:cs="Arial" w:ascii="Arial" w:hAnsi="Arial"/>
          <w:b/>
          <w:bCs/>
          <w:color w:val="1B2A4A"/>
          <w:sz w:val="28"/>
          <w:szCs w:val="28"/>
        </w:rPr>
        <w:t>6.1 Principle</w:t>
      </w:r>
    </w:p>
    <w:p>
      <w:pPr>
        <w:pStyle w:val="Normal"/>
        <w:spacing w:before="0" w:after="160"/>
        <w:rPr/>
      </w:pPr>
      <w:r>
        <w:rPr>
          <w:rFonts w:eastAsia="Arial" w:cs="Arial"/>
          <w:color w:val="333333"/>
          <w:sz w:val="22"/>
          <w:szCs w:val="22"/>
        </w:rPr>
        <w:t>The Bonafide protocol never overrides the user's consent. Whatever data an institution retains after lease revocation or account closure, the user agreed to when they accepted the branch policy. The protocol enforces what the user already consented to—nothing more.</w:t>
      </w:r>
    </w:p>
    <w:p>
      <w:pPr>
        <w:pStyle w:val="Normal"/>
        <w:spacing w:before="0" w:after="160"/>
        <w:rPr/>
      </w:pPr>
      <w:r>
        <w:rPr>
          <w:rFonts w:eastAsia="Arial" w:cs="Arial"/>
          <w:color w:val="333333"/>
          <w:sz w:val="22"/>
          <w:szCs w:val="22"/>
        </w:rPr>
        <w:t>There is no protocol-granted regulatory lease. There is no mechanism for the protocol itself to extend institutional access beyond what the user originally accepted. If an institution needs to retain data for regulatory compliance, the policy must declare this up front, and the user must accept it before the relationship begins.</w:t>
      </w:r>
    </w:p>
    <w:p>
      <w:pPr>
        <w:pStyle w:val="Heading2"/>
        <w:spacing w:before="300" w:after="180"/>
        <w:rPr/>
      </w:pPr>
      <w:r>
        <w:rPr>
          <w:rFonts w:eastAsia="Arial" w:cs="Arial" w:ascii="Arial" w:hAnsi="Arial"/>
          <w:b/>
          <w:bCs/>
          <w:color w:val="1B2A4A"/>
          <w:sz w:val="28"/>
          <w:szCs w:val="28"/>
        </w:rPr>
        <w:t>6.2 Retention Mechanics</w:t>
      </w:r>
    </w:p>
    <w:p>
      <w:pPr>
        <w:pStyle w:val="Normal"/>
        <w:spacing w:before="0" w:after="160"/>
        <w:rPr/>
      </w:pPr>
      <w:r>
        <w:rPr>
          <w:rFonts w:eastAsia="Arial" w:cs="Arial"/>
          <w:color w:val="333333"/>
          <w:sz w:val="22"/>
          <w:szCs w:val="22"/>
        </w:rPr>
        <w:t>When a lease is revoked, the protocol evaluates the branch policy's retention attributes for each data category:</w:t>
      </w:r>
    </w:p>
    <w:tbl>
      <w:tblPr>
        <w:tblW w:w="9360" w:type="dxa"/>
        <w:jc w:val="start"/>
        <w:tblInd w:w="0" w:type="dxa"/>
        <w:tblLayout w:type="fixed"/>
        <w:tblCellMar>
          <w:top w:w="60" w:type="dxa"/>
          <w:start w:w="100" w:type="dxa"/>
          <w:bottom w:w="60" w:type="dxa"/>
          <w:end w:w="100" w:type="dxa"/>
        </w:tblCellMar>
      </w:tblPr>
      <w:tblGrid>
        <w:gridCol w:w="2199"/>
        <w:gridCol w:w="2201"/>
        <w:gridCol w:w="4960"/>
      </w:tblGrid>
      <w:tr>
        <w:trPr/>
        <w:tc>
          <w:tcPr>
            <w:tcW w:w="2199"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Policy Attribute</w:t>
            </w:r>
          </w:p>
        </w:tc>
        <w:tc>
          <w:tcPr>
            <w:tcW w:w="2201"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Example Value</w:t>
            </w:r>
          </w:p>
        </w:tc>
        <w:tc>
          <w:tcPr>
            <w:tcW w:w="496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Protocol Action</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333333"/>
                <w:sz w:val="20"/>
                <w:szCs w:val="20"/>
              </w:rPr>
              <w:t>on_revoke = purge</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333333"/>
                <w:sz w:val="20"/>
                <w:szCs w:val="20"/>
              </w:rPr>
              <w:t>Immediate</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333333"/>
                <w:sz w:val="20"/>
                <w:szCs w:val="20"/>
              </w:rPr>
              <w:t>Institutional DEK wrappings removed. Institution's copy becomes dead ciphertext immediately.</w:t>
            </w:r>
          </w:p>
        </w:tc>
      </w:tr>
      <w:tr>
        <w:trPr/>
        <w:tc>
          <w:tcPr>
            <w:tcW w:w="2199" w:type="dxa"/>
            <w:tcBorders>
              <w:top w:val="single" w:sz="2" w:space="0" w:color="CCCCCC"/>
              <w:start w:val="single" w:sz="2" w:space="0" w:color="CCCCCC"/>
              <w:bottom w:val="single" w:sz="2" w:space="0" w:color="CCCCCC"/>
              <w:end w:val="single" w:sz="2" w:space="0" w:color="CCCCCC"/>
            </w:tcBorders>
            <w:shd w:fill="F0F4F8" w:val="clear"/>
          </w:tcPr>
          <w:p>
            <w:pPr>
              <w:pStyle w:val="Normal"/>
              <w:rPr/>
            </w:pPr>
            <w:r>
              <w:rPr>
                <w:rFonts w:eastAsia="Arial" w:cs="Arial"/>
                <w:color w:val="333333"/>
                <w:sz w:val="20"/>
                <w:szCs w:val="20"/>
              </w:rPr>
              <w:t>on_revoke = purge(90)</w:t>
            </w:r>
          </w:p>
        </w:tc>
        <w:tc>
          <w:tcPr>
            <w:tcW w:w="2201" w:type="dxa"/>
            <w:tcBorders>
              <w:top w:val="single" w:sz="2" w:space="0" w:color="CCCCCC"/>
              <w:start w:val="single" w:sz="2" w:space="0" w:color="CCCCCC"/>
              <w:bottom w:val="single" w:sz="2" w:space="0" w:color="CCCCCC"/>
              <w:end w:val="single" w:sz="2" w:space="0" w:color="CCCCCC"/>
            </w:tcBorders>
            <w:shd w:fill="F0F4F8" w:val="clear"/>
          </w:tcPr>
          <w:p>
            <w:pPr>
              <w:pStyle w:val="Normal"/>
              <w:rPr/>
            </w:pPr>
            <w:r>
              <w:rPr>
                <w:rFonts w:eastAsia="Arial" w:cs="Arial"/>
                <w:color w:val="333333"/>
                <w:sz w:val="20"/>
                <w:szCs w:val="20"/>
              </w:rPr>
              <w:t>90-day grace</w:t>
            </w:r>
          </w:p>
        </w:tc>
        <w:tc>
          <w:tcPr>
            <w:tcW w:w="4960" w:type="dxa"/>
            <w:tcBorders>
              <w:top w:val="single" w:sz="2" w:space="0" w:color="CCCCCC"/>
              <w:start w:val="single" w:sz="2" w:space="0" w:color="CCCCCC"/>
              <w:bottom w:val="single" w:sz="2" w:space="0" w:color="CCCCCC"/>
              <w:end w:val="single" w:sz="2" w:space="0" w:color="CCCCCC"/>
            </w:tcBorders>
            <w:shd w:fill="F0F4F8" w:val="clear"/>
          </w:tcPr>
          <w:p>
            <w:pPr>
              <w:pStyle w:val="Normal"/>
              <w:rPr/>
            </w:pPr>
            <w:r>
              <w:rPr>
                <w:rFonts w:eastAsia="Arial" w:cs="Arial"/>
                <w:color w:val="333333"/>
                <w:sz w:val="20"/>
                <w:szCs w:val="20"/>
              </w:rPr>
              <w:t>Institutional access continues for 90 days (for account settlement, final statements, etc.), then wrappings removed.</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333333"/>
                <w:sz w:val="20"/>
                <w:szCs w:val="20"/>
              </w:rPr>
              <w:t>on_revoke = retain</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333333"/>
                <w:sz w:val="20"/>
                <w:szCs w:val="20"/>
              </w:rPr>
              <w:t>Regulatory</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333333"/>
                <w:sz w:val="20"/>
                <w:szCs w:val="20"/>
              </w:rPr>
              <w:t>Institutional access continues for retention.duration_days at retention.security_level. When retention expires, wrappings removed automatically.</w:t>
            </w:r>
          </w:p>
        </w:tc>
      </w:tr>
      <w:tr>
        <w:trPr/>
        <w:tc>
          <w:tcPr>
            <w:tcW w:w="2199" w:type="dxa"/>
            <w:tcBorders>
              <w:top w:val="single" w:sz="2" w:space="0" w:color="CCCCCC"/>
              <w:start w:val="single" w:sz="2" w:space="0" w:color="CCCCCC"/>
              <w:bottom w:val="single" w:sz="2" w:space="0" w:color="CCCCCC"/>
              <w:end w:val="single" w:sz="2" w:space="0" w:color="CCCCCC"/>
            </w:tcBorders>
            <w:shd w:fill="F0F4F8" w:val="clear"/>
          </w:tcPr>
          <w:p>
            <w:pPr>
              <w:pStyle w:val="Normal"/>
              <w:rPr/>
            </w:pPr>
            <w:r>
              <w:rPr>
                <w:rFonts w:eastAsia="Arial" w:cs="Arial"/>
                <w:color w:val="333333"/>
                <w:sz w:val="20"/>
                <w:szCs w:val="20"/>
              </w:rPr>
              <w:t>on_revoke = downgrade(12)</w:t>
            </w:r>
          </w:p>
        </w:tc>
        <w:tc>
          <w:tcPr>
            <w:tcW w:w="2201" w:type="dxa"/>
            <w:tcBorders>
              <w:top w:val="single" w:sz="2" w:space="0" w:color="CCCCCC"/>
              <w:start w:val="single" w:sz="2" w:space="0" w:color="CCCCCC"/>
              <w:bottom w:val="single" w:sz="2" w:space="0" w:color="CCCCCC"/>
              <w:end w:val="single" w:sz="2" w:space="0" w:color="CCCCCC"/>
            </w:tcBorders>
            <w:shd w:fill="F0F4F8" w:val="clear"/>
          </w:tcPr>
          <w:p>
            <w:pPr>
              <w:pStyle w:val="Normal"/>
              <w:rPr/>
            </w:pPr>
            <w:r>
              <w:rPr>
                <w:rFonts w:eastAsia="Arial" w:cs="Arial"/>
                <w:color w:val="333333"/>
                <w:sz w:val="20"/>
                <w:szCs w:val="20"/>
              </w:rPr>
              <w:t>Archival</w:t>
            </w:r>
          </w:p>
        </w:tc>
        <w:tc>
          <w:tcPr>
            <w:tcW w:w="4960" w:type="dxa"/>
            <w:tcBorders>
              <w:top w:val="single" w:sz="2" w:space="0" w:color="CCCCCC"/>
              <w:start w:val="single" w:sz="2" w:space="0" w:color="CCCCCC"/>
              <w:bottom w:val="single" w:sz="2" w:space="0" w:color="CCCCCC"/>
              <w:end w:val="single" w:sz="2" w:space="0" w:color="CCCCCC"/>
            </w:tcBorders>
            <w:shd w:fill="F0F4F8" w:val="clear"/>
          </w:tcPr>
          <w:p>
            <w:pPr>
              <w:pStyle w:val="Normal"/>
              <w:rPr/>
            </w:pPr>
            <w:r>
              <w:rPr>
                <w:rFonts w:eastAsia="Arial" w:cs="Arial"/>
                <w:color w:val="333333"/>
                <w:sz w:val="20"/>
                <w:szCs w:val="20"/>
              </w:rPr>
              <w:t>Security level elevated to 12. Access restricted to compliance-only operations. Lease continues under retention terms.</w:t>
            </w:r>
          </w:p>
        </w:tc>
      </w:tr>
    </w:tbl>
    <w:p>
      <w:pPr>
        <w:pStyle w:val="Heading2"/>
        <w:spacing w:before="300" w:after="180"/>
        <w:rPr/>
      </w:pPr>
      <w:r>
        <w:rPr>
          <w:rFonts w:eastAsia="Arial" w:cs="Arial" w:ascii="Arial" w:hAnsi="Arial"/>
          <w:b/>
          <w:bCs/>
          <w:color w:val="1B2A4A"/>
          <w:sz w:val="28"/>
          <w:szCs w:val="28"/>
        </w:rPr>
        <w:t>6.3 Retention Expiration</w:t>
      </w:r>
    </w:p>
    <w:p>
      <w:pPr>
        <w:pStyle w:val="Normal"/>
        <w:spacing w:before="0" w:after="160"/>
        <w:rPr/>
      </w:pPr>
      <w:r>
        <w:rPr>
          <w:rFonts w:eastAsia="Arial" w:cs="Arial"/>
          <w:color w:val="333333"/>
          <w:sz w:val="22"/>
          <w:szCs w:val="22"/>
        </w:rPr>
        <w:t>When a retention period expires, the protocol automatically removes institutional DEK wrappings from the affected quanta. The institution may retain the ciphertext indefinitely—it is meaningless bits without the key. The expiration event is recorded in the ledger.</w:t>
      </w:r>
    </w:p>
    <w:p>
      <w:pPr>
        <w:pStyle w:val="Normal"/>
        <w:spacing w:before="0" w:after="160"/>
        <w:rPr/>
      </w:pPr>
      <w:r>
        <w:rPr>
          <w:rFonts w:eastAsia="Arial" w:cs="Arial"/>
          <w:color w:val="333333"/>
          <w:sz w:val="22"/>
          <w:szCs w:val="22"/>
        </w:rPr>
        <w:t>The user's vault interface reflects the current state: which institutions hold active leases, which hold retention leases, and when each retention expires.</w:t>
      </w:r>
    </w:p>
    <w:p>
      <w:pPr>
        <w:pStyle w:val="Heading2"/>
        <w:spacing w:before="300" w:after="180"/>
        <w:rPr/>
      </w:pPr>
      <w:r>
        <w:rPr>
          <w:rFonts w:eastAsia="Arial" w:cs="Arial" w:ascii="Arial" w:hAnsi="Arial"/>
          <w:b/>
          <w:bCs/>
          <w:color w:val="1B2A4A"/>
          <w:sz w:val="28"/>
          <w:szCs w:val="28"/>
        </w:rPr>
        <w:t>6.4 User Visibility</w:t>
      </w:r>
    </w:p>
    <w:p>
      <w:pPr>
        <w:pStyle w:val="Normal"/>
        <w:spacing w:before="0" w:after="160"/>
        <w:rPr/>
      </w:pPr>
      <w:r>
        <w:rPr>
          <w:rFonts w:eastAsia="Arial" w:cs="Arial"/>
          <w:color w:val="333333"/>
          <w:sz w:val="22"/>
          <w:szCs w:val="22"/>
        </w:rPr>
        <w:t>The branch policy declares which data categories are user-visible (data.&lt;category&gt;.user_visible = true). User-visible quanta can be synced to the user's private vault as read-only copies. The institution pushes user-visible quanta to the user's vault on a schedule or on demand. The user sees their PII, account summary, and statements in their own vault. The institution never opens an inbound channel. The user never reaches into the institution's infrastructure.</w:t>
      </w:r>
    </w:p>
    <w:p>
      <w:pPr>
        <w:pStyle w:val="Normal"/>
        <w:spacing w:before="0" w:after="160"/>
        <w:rPr/>
      </w:pPr>
      <w:r>
        <w:rPr>
          <w:rFonts w:eastAsia="Arial" w:cs="Arial"/>
          <w:color w:val="333333"/>
          <w:sz w:val="22"/>
          <w:szCs w:val="22"/>
        </w:rPr>
        <w:t>Data the institution creates for its own operational purposes (internal risk scores, compliance flags, process artifacts) is not user-visible and is not governed by the Bonafide protocol. That is the institution's own data.</w:t>
      </w:r>
    </w:p>
    <w:p>
      <w:pPr>
        <w:pStyle w:val="Normal"/>
        <w:rPr/>
      </w:pPr>
      <w:r>
        <w:rPr/>
      </w:r>
      <w:r>
        <w:br w:type="page"/>
      </w:r>
    </w:p>
    <w:p>
      <w:pPr>
        <w:pStyle w:val="Heading1"/>
        <w:spacing w:before="0" w:after="200"/>
        <w:rPr/>
      </w:pPr>
      <w:r>
        <w:rPr>
          <w:rFonts w:eastAsia="Arial" w:cs="Arial" w:ascii="Arial" w:hAnsi="Arial"/>
          <w:b/>
          <w:bCs/>
          <w:color w:val="1B2A4A"/>
          <w:sz w:val="32"/>
          <w:szCs w:val="32"/>
        </w:rPr>
        <w:t>7. Compliance Requirements</w:t>
      </w:r>
    </w:p>
    <w:p>
      <w:pPr>
        <w:pStyle w:val="Heading2"/>
        <w:spacing w:before="300" w:after="180"/>
        <w:rPr/>
      </w:pPr>
      <w:r>
        <w:rPr>
          <w:rFonts w:eastAsia="Arial" w:cs="Arial" w:ascii="Arial" w:hAnsi="Arial"/>
          <w:b/>
          <w:bCs/>
          <w:color w:val="1B2A4A"/>
          <w:sz w:val="28"/>
          <w:szCs w:val="28"/>
        </w:rPr>
        <w:t>7.1 Implementation Requirements</w:t>
      </w:r>
    </w:p>
    <w:p>
      <w:pPr>
        <w:pStyle w:val="Normal"/>
        <w:spacing w:before="0" w:after="160"/>
        <w:rPr/>
      </w:pPr>
      <w:r>
        <w:rPr>
          <w:rFonts w:eastAsia="Arial" w:cs="Arial"/>
          <w:color w:val="333333"/>
          <w:sz w:val="22"/>
          <w:szCs w:val="22"/>
        </w:rPr>
        <w:t>A compliant Bonafide implementation must enforce the following:</w:t>
      </w:r>
    </w:p>
    <w:p>
      <w:pPr>
        <w:pStyle w:val="ListParagraph"/>
        <w:numPr>
          <w:ilvl w:val="0"/>
          <w:numId w:val="1"/>
        </w:numPr>
        <w:spacing w:before="0" w:after="100"/>
        <w:rPr/>
      </w:pPr>
      <w:r>
        <w:rPr>
          <w:rFonts w:eastAsia="Arial" w:cs="Arial"/>
          <w:b/>
          <w:bCs/>
          <w:i w:val="false"/>
          <w:iCs w:val="false"/>
          <w:color w:val="333333"/>
          <w:sz w:val="22"/>
          <w:szCs w:val="22"/>
        </w:rPr>
        <w:t xml:space="preserve">Lease enforcement: </w:t>
      </w:r>
      <w:r>
        <w:rPr>
          <w:rFonts w:eastAsia="Arial" w:cs="Arial"/>
          <w:b w:val="false"/>
          <w:bCs w:val="false"/>
          <w:i w:val="false"/>
          <w:iCs w:val="false"/>
          <w:color w:val="333333"/>
          <w:sz w:val="22"/>
          <w:szCs w:val="22"/>
        </w:rPr>
        <w:t>Institutional access must be lease-based with finite terms. Persistent institutional keys are non-compliant.</w:t>
      </w:r>
    </w:p>
    <w:p>
      <w:pPr>
        <w:pStyle w:val="ListParagraph"/>
        <w:numPr>
          <w:ilvl w:val="0"/>
          <w:numId w:val="1"/>
        </w:numPr>
        <w:spacing w:before="0" w:after="100"/>
        <w:rPr/>
      </w:pPr>
      <w:r>
        <w:rPr>
          <w:rFonts w:eastAsia="Arial" w:cs="Arial"/>
          <w:b/>
          <w:bCs/>
          <w:i w:val="false"/>
          <w:iCs w:val="false"/>
          <w:color w:val="333333"/>
          <w:sz w:val="22"/>
          <w:szCs w:val="22"/>
        </w:rPr>
        <w:t xml:space="preserve">Policy evaluation: </w:t>
      </w:r>
      <w:r>
        <w:rPr>
          <w:rFonts w:eastAsia="Arial" w:cs="Arial"/>
          <w:b w:val="false"/>
          <w:bCs w:val="false"/>
          <w:i w:val="false"/>
          <w:iCs w:val="false"/>
          <w:color w:val="333333"/>
          <w:sz w:val="22"/>
          <w:szCs w:val="22"/>
        </w:rPr>
        <w:t>The runtime must evaluate the branch policy's attribute set for every lease event and every access authorization. The runtime must reject operations that violate the policy.</w:t>
      </w:r>
    </w:p>
    <w:p>
      <w:pPr>
        <w:pStyle w:val="ListParagraph"/>
        <w:numPr>
          <w:ilvl w:val="0"/>
          <w:numId w:val="1"/>
        </w:numPr>
        <w:spacing w:before="0" w:after="100"/>
        <w:rPr/>
      </w:pPr>
      <w:r>
        <w:rPr>
          <w:rFonts w:eastAsia="Arial" w:cs="Arial"/>
          <w:b/>
          <w:bCs/>
          <w:i w:val="false"/>
          <w:iCs w:val="false"/>
          <w:color w:val="333333"/>
          <w:sz w:val="22"/>
          <w:szCs w:val="22"/>
        </w:rPr>
        <w:t xml:space="preserve">Constitutional enforcement: </w:t>
      </w:r>
      <w:r>
        <w:rPr>
          <w:rFonts w:eastAsia="Arial" w:cs="Arial"/>
          <w:b w:val="false"/>
          <w:bCs w:val="false"/>
          <w:i w:val="false"/>
          <w:iCs w:val="false"/>
          <w:color w:val="333333"/>
          <w:sz w:val="22"/>
          <w:szCs w:val="22"/>
        </w:rPr>
        <w:t>The runtime must reject any policy that violates the constitutional minimums (Section 3.2), regardless of what the institution publishes.</w:t>
      </w:r>
    </w:p>
    <w:p>
      <w:pPr>
        <w:pStyle w:val="ListParagraph"/>
        <w:numPr>
          <w:ilvl w:val="0"/>
          <w:numId w:val="1"/>
        </w:numPr>
        <w:spacing w:before="0" w:after="100"/>
        <w:rPr/>
      </w:pPr>
      <w:r>
        <w:rPr>
          <w:rFonts w:eastAsia="Arial" w:cs="Arial"/>
          <w:b/>
          <w:bCs/>
          <w:i w:val="false"/>
          <w:iCs w:val="false"/>
          <w:color w:val="333333"/>
          <w:sz w:val="22"/>
          <w:szCs w:val="22"/>
        </w:rPr>
        <w:t xml:space="preserve">Ledger recording: </w:t>
      </w:r>
      <w:r>
        <w:rPr>
          <w:rFonts w:eastAsia="Arial" w:cs="Arial"/>
          <w:b w:val="false"/>
          <w:bCs w:val="false"/>
          <w:i w:val="false"/>
          <w:iCs w:val="false"/>
          <w:color w:val="333333"/>
          <w:sz w:val="22"/>
          <w:szCs w:val="22"/>
        </w:rPr>
        <w:t>Every lease event and policy acceptance must be recorded in the immutable ledger with cryptographic proof.</w:t>
      </w:r>
    </w:p>
    <w:p>
      <w:pPr>
        <w:pStyle w:val="ListParagraph"/>
        <w:numPr>
          <w:ilvl w:val="0"/>
          <w:numId w:val="1"/>
        </w:numPr>
        <w:spacing w:before="0" w:after="100"/>
        <w:rPr/>
      </w:pPr>
      <w:r>
        <w:rPr>
          <w:rFonts w:eastAsia="Arial" w:cs="Arial"/>
          <w:b/>
          <w:bCs/>
          <w:i w:val="false"/>
          <w:iCs w:val="false"/>
          <w:color w:val="333333"/>
          <w:sz w:val="22"/>
          <w:szCs w:val="22"/>
        </w:rPr>
        <w:t xml:space="preserve">Transfer protocol: </w:t>
      </w:r>
      <w:r>
        <w:rPr>
          <w:rFonts w:eastAsia="Arial" w:cs="Arial"/>
          <w:b w:val="false"/>
          <w:bCs w:val="false"/>
          <w:i w:val="false"/>
          <w:iCs w:val="false"/>
          <w:color w:val="333333"/>
          <w:sz w:val="22"/>
          <w:szCs w:val="22"/>
        </w:rPr>
        <w:t>The runtime must implement the full transfer flow (Section 4.2) including default-on-silence rejection.</w:t>
      </w:r>
    </w:p>
    <w:p>
      <w:pPr>
        <w:pStyle w:val="ListParagraph"/>
        <w:numPr>
          <w:ilvl w:val="0"/>
          <w:numId w:val="1"/>
        </w:numPr>
        <w:spacing w:before="0" w:after="100"/>
        <w:rPr/>
      </w:pPr>
      <w:r>
        <w:rPr>
          <w:rFonts w:eastAsia="Arial" w:cs="Arial"/>
          <w:b/>
          <w:bCs/>
          <w:i w:val="false"/>
          <w:iCs w:val="false"/>
          <w:color w:val="333333"/>
          <w:sz w:val="22"/>
          <w:szCs w:val="22"/>
        </w:rPr>
        <w:t xml:space="preserve">Retention enforcement: </w:t>
      </w:r>
      <w:r>
        <w:rPr>
          <w:rFonts w:eastAsia="Arial" w:cs="Arial"/>
          <w:b w:val="false"/>
          <w:bCs w:val="false"/>
          <w:i w:val="false"/>
          <w:iCs w:val="false"/>
          <w:color w:val="333333"/>
          <w:sz w:val="22"/>
          <w:szCs w:val="22"/>
        </w:rPr>
        <w:t>The runtime must automatically remove DEK wrappings when retention periods expire.</w:t>
      </w:r>
    </w:p>
    <w:p>
      <w:pPr>
        <w:pStyle w:val="Heading2"/>
        <w:spacing w:before="300" w:after="180"/>
        <w:rPr/>
      </w:pPr>
      <w:r>
        <w:rPr>
          <w:rFonts w:eastAsia="Arial" w:cs="Arial" w:ascii="Arial" w:hAnsi="Arial"/>
          <w:b/>
          <w:bCs/>
          <w:color w:val="1B2A4A"/>
          <w:sz w:val="28"/>
          <w:szCs w:val="28"/>
        </w:rPr>
        <w:t>7.2 Hardware Enforcement</w:t>
      </w:r>
    </w:p>
    <w:p>
      <w:pPr>
        <w:pStyle w:val="Normal"/>
        <w:spacing w:before="0" w:after="160"/>
        <w:rPr/>
      </w:pPr>
      <w:r>
        <w:rPr>
          <w:rFonts w:eastAsia="Arial" w:cs="Arial"/>
          <w:color w:val="333333"/>
          <w:sz w:val="22"/>
          <w:szCs w:val="22"/>
        </w:rPr>
        <w:t>On Classification S deployments, the branch policy's binary attribute set is loaded into the HSM's Security Enforcer IP block. The enforcer evaluates policy attributes as hardware gate conditions: integer comparisons, boolean checks, and enum lookups against FPGA block RAM lookup tables. Policy enforcement in silicon cannot be bypassed by host OS compromise.</w:t>
      </w:r>
    </w:p>
    <w:p>
      <w:pPr>
        <w:pStyle w:val="Normal"/>
        <w:spacing w:before="0" w:after="160"/>
        <w:rPr/>
      </w:pPr>
      <w:r>
        <w:rPr>
          <w:rFonts w:eastAsia="Arial" w:cs="Arial"/>
          <w:color w:val="333333"/>
          <w:sz w:val="22"/>
          <w:szCs w:val="22"/>
        </w:rPr>
        <w:t>The Bonafide HSM Reference Design (separate document) specifies the binary policy format, the loading protocol, and the formal verification requirements for the Security Enforcer block.</w:t>
      </w:r>
    </w:p>
    <w:p>
      <w:pPr>
        <w:pStyle w:val="Heading2"/>
        <w:spacing w:before="300" w:after="180"/>
        <w:rPr/>
      </w:pPr>
      <w:r>
        <w:rPr>
          <w:rFonts w:eastAsia="Arial" w:cs="Arial" w:ascii="Arial" w:hAnsi="Arial"/>
          <w:b/>
          <w:bCs/>
          <w:color w:val="1B2A4A"/>
          <w:sz w:val="28"/>
          <w:szCs w:val="28"/>
        </w:rPr>
        <w:t>7.3 Software Enforcement</w:t>
      </w:r>
    </w:p>
    <w:p>
      <w:pPr>
        <w:pStyle w:val="Normal"/>
        <w:spacing w:before="0" w:after="160"/>
        <w:rPr/>
      </w:pPr>
      <w:r>
        <w:rPr>
          <w:rFonts w:eastAsia="Arial" w:cs="Arial"/>
          <w:color w:val="333333"/>
          <w:sz w:val="22"/>
          <w:szCs w:val="22"/>
        </w:rPr>
        <w:t>On Classification A, B, and C deployments, the Bonafide runtime enforces policies in software. The runtime evaluates the same attribute set using the same logic—the difference is the trust boundary. Software enforcement is correct but can be bypassed by compromising the host. Hardware enforcement is correct and tamper-resistant.</w:t>
      </w:r>
    </w:p>
    <w:p>
      <w:pPr>
        <w:pStyle w:val="Normal"/>
        <w:spacing w:before="0" w:after="400"/>
        <w:rPr/>
      </w:pPr>
      <w:r>
        <w:rPr/>
      </w:r>
    </w:p>
    <w:p>
      <w:pPr>
        <w:pStyle w:val="Normal"/>
        <w:pBdr>
          <w:top w:val="single" w:sz="2" w:space="4" w:color="CCCCCC"/>
        </w:pBdr>
        <w:spacing w:before="200" w:after="0"/>
        <w:rPr/>
      </w:pPr>
      <w:r>
        <w:rPr>
          <w:rFonts w:eastAsia="Arial" w:cs="Arial"/>
          <w:b/>
          <w:bCs/>
          <w:color w:val="1B2A4A"/>
          <w:sz w:val="20"/>
          <w:szCs w:val="20"/>
        </w:rPr>
        <w:t>Bonafide™ — Privacy by architecture, not by promise.</w:t>
      </w:r>
    </w:p>
    <w:p>
      <w:pPr>
        <w:pStyle w:val="Normal"/>
        <w:spacing w:before="0" w:after="80"/>
        <w:rPr/>
      </w:pPr>
      <w:r>
        <w:rPr/>
      </w:r>
    </w:p>
    <w:p>
      <w:pPr>
        <w:pStyle w:val="Normal"/>
        <w:spacing w:before="0" w:after="160"/>
        <w:rPr/>
      </w:pPr>
      <w:r>
        <w:rPr>
          <w:rFonts w:eastAsia="Arial" w:cs="Arial"/>
          <w:color w:val="333333"/>
          <w:sz w:val="22"/>
          <w:szCs w:val="22"/>
        </w:rPr>
        <w:t>An open specification by Sly Technologies Inc.  |  bonafide.id  |  bonafideid.org</w:t>
      </w:r>
    </w:p>
    <w:p>
      <w:pPr>
        <w:pStyle w:val="Normal"/>
        <w:spacing w:before="0" w:after="160"/>
        <w:rPr/>
      </w:pPr>
      <w:r>
        <w:rPr>
          <w:rFonts w:eastAsia="Arial" w:cs="Arial"/>
          <w:color w:val="333333"/>
          <w:sz w:val="22"/>
          <w:szCs w:val="22"/>
        </w:rPr>
        <w:t>V1.0 — February 2026</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CCCCC"/>
      </w:pBdr>
      <w:tabs>
        <w:tab w:val="clear" w:pos="720"/>
        <w:tab w:val="right" w:pos="9360" w:leader="none"/>
      </w:tabs>
      <w:rPr/>
    </w:pPr>
    <w:r>
      <w:rPr>
        <w:rFonts w:eastAsia="Arial" w:cs="Arial"/>
        <w:color w:val="666666"/>
        <w:sz w:val="16"/>
        <w:szCs w:val="16"/>
      </w:rPr>
      <w:t>Confidential — Sly Technologies Inc.</w:t>
    </w:r>
    <w:r>
      <w:rPr>
        <w:rFonts w:eastAsia="Arial" w:cs="Arial"/>
        <w:color w:val="2E75B6"/>
        <w:sz w:val="16"/>
        <w:szCs w:val="16"/>
      </w:rPr>
      <w:tab/>
      <w:t>bonafide.id</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CCCCC"/>
      </w:pBdr>
      <w:tabs>
        <w:tab w:val="clear" w:pos="720"/>
        <w:tab w:val="right" w:pos="9360" w:leader="none"/>
      </w:tabs>
      <w:rPr/>
    </w:pPr>
    <w:r>
      <w:rPr>
        <w:rFonts w:eastAsia="Arial" w:cs="Arial"/>
        <w:color w:val="666666"/>
        <w:sz w:val="16"/>
        <w:szCs w:val="16"/>
      </w:rPr>
      <w:t>Confidential — Sly Technologies Inc.</w:t>
    </w:r>
    <w:r>
      <w:rPr>
        <w:rFonts w:eastAsia="Arial" w:cs="Arial"/>
        <w:color w:val="2E75B6"/>
        <w:sz w:val="16"/>
        <w:szCs w:val="16"/>
      </w:rPr>
      <w:tab/>
      <w:t>bonafide.id</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2E75B6"/>
      </w:pBdr>
      <w:tabs>
        <w:tab w:val="clear" w:pos="720"/>
        <w:tab w:val="right" w:pos="9360" w:leader="none"/>
      </w:tabs>
      <w:rPr/>
    </w:pPr>
    <w:r>
      <w:rPr>
        <w:rFonts w:eastAsia="Arial" w:cs="Arial"/>
        <w:b/>
        <w:bCs/>
        <w:color w:val="2E75B6"/>
        <w:sz w:val="16"/>
        <w:szCs w:val="16"/>
      </w:rPr>
      <w:t>Bonafide™ Specification V1.0 — Part 14</w:t>
    </w:r>
    <w:r>
      <w:rPr>
        <w:rFonts w:eastAsia="Arial" w:cs="Arial"/>
        <w:color w:val="666666"/>
        <w:sz w:val="16"/>
        <w:szCs w:val="16"/>
      </w:rPr>
      <w:tab/>
      <w:t>Institutional Branches, Leases &amp; Policy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2E75B6"/>
      </w:pBdr>
      <w:tabs>
        <w:tab w:val="clear" w:pos="720"/>
        <w:tab w:val="right" w:pos="9360" w:leader="none"/>
      </w:tabs>
      <w:rPr/>
    </w:pPr>
    <w:r>
      <w:rPr>
        <w:rFonts w:eastAsia="Arial" w:cs="Arial"/>
        <w:b/>
        <w:bCs/>
        <w:color w:val="2E75B6"/>
        <w:sz w:val="16"/>
        <w:szCs w:val="16"/>
      </w:rPr>
      <w:t>Bonafide™ Specification V1.0 — Part 14</w:t>
    </w:r>
    <w:r>
      <w:rPr>
        <w:rFonts w:eastAsia="Arial" w:cs="Arial"/>
        <w:color w:val="666666"/>
        <w:sz w:val="16"/>
        <w:szCs w:val="16"/>
      </w:rPr>
      <w:tab/>
      <w:t>Institutional Branches, Leases &amp; Policy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00" w:after="200"/>
      <w:outlineLvl w:val="0"/>
    </w:pPr>
    <w:rPr>
      <w:rFonts w:ascii="Arial" w:hAnsi="Arial" w:eastAsia="Arial" w:cs="Arial"/>
      <w:b/>
      <w:bCs/>
      <w:color w:val="1B2A4A"/>
      <w:sz w:val="32"/>
      <w:szCs w:val="32"/>
    </w:rPr>
  </w:style>
  <w:style w:type="paragraph" w:styleId="Heading2">
    <w:name w:val="heading 2"/>
    <w:basedOn w:val="Heading"/>
    <w:qFormat/>
    <w:pPr>
      <w:spacing w:before="300" w:after="180"/>
      <w:outlineLvl w:val="1"/>
    </w:pPr>
    <w:rPr>
      <w:rFonts w:ascii="Arial" w:hAnsi="Arial" w:eastAsia="Arial" w:cs="Arial"/>
      <w:b/>
      <w:bCs/>
      <w:color w:val="1B2A4A"/>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LibreOffice_project/a46b460d1686bb49c718d2ef5f88b83ff2dc4981</Application>
  <AppVersion>15.0000</AppVersion>
  <Pages>10</Pages>
  <Words>2567</Words>
  <Characters>15848</Characters>
  <CharactersWithSpaces>18207</CharactersWithSpaces>
  <Paragraphs>195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2026-02-22T15:29:58Z</dcterms:created>
  <dc:creator>Un-named</dc:creator>
  <dc:description/>
  <dc:language>en-US</dc:language>
  <cp:lastModifiedBy>Mark Bednarczyk</cp:lastModifiedBy>
  <dcterms:modified xsi:type="dcterms:W3CDTF">2026-03-30T19:11:26Z</dcterms:modified>
  <cp:revision>2</cp:revision>
  <dc:subject/>
  <dc:title/>
</cp:coreProperties>
</file>