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F4E79"/>
          <w:sz w:val="28"/>
          <w:szCs w:val="28"/>
        </w:rPr>
        <w:t xml:space="preserve">BONAFIDE™ SPECIFICATION V1.0 — PART 15</w:t>
      </w:r>
    </w:p>
    <w:p>
      <w:pPr>
        <w:spacing w:after="40"/>
        <w:jc w:val="left"/>
      </w:pPr>
      <w:r>
        <w:rPr>
          <w:rFonts w:ascii="Arial" w:cs="Arial" w:eastAsia="Arial" w:hAnsi="Arial"/>
          <w:b/>
          <w:bCs/>
          <w:color w:val="1F4E79"/>
          <w:sz w:val="36"/>
          <w:szCs w:val="36"/>
        </w:rPr>
        <w:t xml:space="preserve">Identity, Addressing &amp; Alias Resolution</w:t>
      </w:r>
    </w:p>
    <w:p>
      <w:pPr>
        <w:spacing w:after="300"/>
        <w:jc w:val="left"/>
      </w:pPr>
      <w:r>
        <w:rPr>
          <w:rFonts w:ascii="Arial" w:cs="Arial" w:eastAsia="Arial" w:hAnsi="Arial"/>
          <w:i/>
          <w:iCs/>
          <w:color w:val="666666"/>
          <w:sz w:val="22"/>
          <w:szCs w:val="22"/>
        </w:rPr>
        <w:t xml:space="preserve">Identity classes, address grammar, qualifier system, vault-derived aliases, display resolution, namespace scoping, agent identities, collision disambiguation, identity trust scores, identity lifecycle, and routing</w:t>
      </w:r>
    </w:p>
    <w:p>
      <w:pPr>
        <w:pStyle w:val="Heading1"/>
      </w:pPr>
      <w:r>
        <w:rPr>
          <w:rFonts w:ascii="Arial" w:cs="Arial" w:eastAsia="Arial" w:hAnsi="Arial"/>
        </w:rPr>
        <w:t xml:space="preserve">1. Purpose</w:t>
      </w:r>
    </w:p>
    <w:p>
      <w:pPr>
        <w:spacing w:after="140"/>
      </w:pPr>
      <w:r>
        <w:rPr>
          <w:rFonts w:ascii="Arial" w:cs="Arial" w:eastAsia="Arial" w:hAnsi="Arial"/>
          <w:sz w:val="22"/>
          <w:szCs w:val="22"/>
        </w:rPr>
        <w:t xml:space="preserve">This part defines the Bonafide identity and addressing protocol: how users, institutions, agents, and topics are addressed, resolved, and displayed across the Bonafide ecosystem. It formalizes the relationship between vault branch hashes (the cryptographic identity) and human-readable aliases (the presentation layer), and defines the grammar, qualifier system, and resolution rules that make addresses both machine-precise and human-friendly.</w:t>
      </w:r>
    </w:p>
    <w:p>
      <w:pPr>
        <w:spacing w:after="140"/>
      </w:pPr>
      <w:r>
        <w:rPr>
          <w:rFonts w:ascii="Arial" w:cs="Arial" w:eastAsia="Arial" w:hAnsi="Arial"/>
          <w:sz w:val="22"/>
          <w:szCs w:val="22"/>
        </w:rPr>
        <w:t xml:space="preserve">The fundamental inversion from conventional identity systems: in traditional platforms, the platform owns your identity and you are a tenant in their namespace. In Bonafide, the vault owns the identity. Every platform, institution, and service receives a scoped, revocable, per-branch view of whichever alias the user chooses to present. The user’s only true identifier is derived from the vault itself—a per-institution hash that is cryptographically unlinkable across institutions without an explicit user-issued linkage attestation.</w:t>
      </w:r>
    </w:p>
    <w:p>
      <w:pPr>
        <w:spacing w:after="140"/>
      </w:pPr>
      <w:r>
        <w:rPr>
          <w:rFonts w:ascii="Arial" w:cs="Arial" w:eastAsia="Arial" w:hAnsi="Arial"/>
          <w:sz w:val="22"/>
          <w:szCs w:val="22"/>
        </w:rPr>
        <w:t xml:space="preserve">This part does not define application-level permissions, content moderation, or feed algorithms. It defines who you are, whether you are authentic, and how to reach you on your terms.</w:t>
      </w:r>
    </w:p>
    <w:p>
      <w:r>
        <w:br w:type="page"/>
      </w:r>
    </w:p>
    <w:p>
      <w:pPr>
        <w:pStyle w:val="Heading1"/>
      </w:pPr>
      <w:r>
        <w:rPr>
          <w:rFonts w:ascii="Arial" w:cs="Arial" w:eastAsia="Arial" w:hAnsi="Arial"/>
        </w:rPr>
        <w:t xml:space="preserve">2. Design Principles</w:t>
      </w:r>
    </w:p>
    <w:p>
      <w:pPr>
        <w:spacing w:after="140"/>
      </w:pPr>
      <w:r>
        <w:rPr>
          <w:rFonts w:ascii="Arial" w:cs="Arial" w:eastAsia="Arial" w:hAnsi="Arial"/>
          <w:b/>
          <w:bCs/>
          <w:sz w:val="22"/>
          <w:szCs w:val="22"/>
        </w:rPr>
        <w:t xml:space="preserve">P1 — Addresses are for machines, aliases are for humans. </w:t>
      </w:r>
      <w:r>
        <w:rPr>
          <w:rFonts w:ascii="Arial" w:cs="Arial" w:eastAsia="Arial" w:hAnsi="Arial"/>
          <w:sz w:val="22"/>
          <w:szCs w:val="22"/>
        </w:rPr>
        <w:t xml:space="preserve">The canonical address is infrastructure. Compliant clients never display a canonical address where a human alias belongs. Users see display names and short handles—never raw hashes or fully qualified address strings.</w:t>
      </w:r>
    </w:p>
    <w:p>
      <w:pPr>
        <w:spacing w:after="140"/>
      </w:pPr>
      <w:r>
        <w:rPr>
          <w:rFonts w:ascii="Arial" w:cs="Arial" w:eastAsia="Arial" w:hAnsi="Arial"/>
          <w:b/>
          <w:bCs/>
          <w:sz w:val="22"/>
          <w:szCs w:val="22"/>
        </w:rPr>
        <w:t xml:space="preserve">P2 — Simplest form in context, full precision out of context. </w:t>
      </w:r>
      <w:r>
        <w:rPr>
          <w:rFonts w:ascii="Arial" w:cs="Arial" w:eastAsia="Arial" w:hAnsi="Arial"/>
          <w:sz w:val="22"/>
          <w:szCs w:val="22"/>
        </w:rPr>
        <w:t xml:space="preserve">Within a context where the identity is unambiguous, the short form suffices. Cross-platform, cross-institution, or high-stakes contexts carry the full qualified form with the precision needed for unambiguous resolution.</w:t>
      </w:r>
    </w:p>
    <w:p>
      <w:pPr>
        <w:spacing w:after="140"/>
      </w:pPr>
      <w:r>
        <w:rPr>
          <w:rFonts w:ascii="Arial" w:cs="Arial" w:eastAsia="Arial" w:hAnsi="Arial"/>
          <w:b/>
          <w:bCs/>
          <w:sz w:val="22"/>
          <w:szCs w:val="22"/>
        </w:rPr>
        <w:t xml:space="preserve">P3 — All complexity lives in qualifiers. </w:t>
      </w:r>
      <w:r>
        <w:rPr>
          <w:rFonts w:ascii="Arial" w:cs="Arial" w:eastAsia="Arial" w:hAnsi="Arial"/>
          <w:sz w:val="22"/>
          <w:szCs w:val="22"/>
        </w:rPr>
        <w:t xml:space="preserve">Base names are simple, memorable, and human. The qualifier brackets carry attestations, access policy, privacy tier, model attestation, and all other structured metadata. The name itself carries no encoded meaning.</w:t>
      </w:r>
    </w:p>
    <w:p>
      <w:pPr>
        <w:spacing w:after="140"/>
      </w:pPr>
      <w:r>
        <w:rPr>
          <w:rFonts w:ascii="Arial" w:cs="Arial" w:eastAsia="Arial" w:hAnsi="Arial"/>
          <w:b/>
          <w:bCs/>
          <w:sz w:val="22"/>
          <w:szCs w:val="22"/>
        </w:rPr>
        <w:t xml:space="preserve">P4 — No global uniqueness at registration. </w:t>
      </w:r>
      <w:r>
        <w:rPr>
          <w:rFonts w:ascii="Arial" w:cs="Arial" w:eastAsia="Arial" w:hAnsi="Arial"/>
          <w:sz w:val="22"/>
          <w:szCs w:val="22"/>
        </w:rPr>
        <w:t xml:space="preserve">Names are locally unique within a scope (institution, platform, community), not globally. Two users with the same alias coexist. Disambiguation is a runtime concern handled by the resolution system, not a naming constraint imposed at registration.</w:t>
      </w:r>
    </w:p>
    <w:p>
      <w:pPr>
        <w:spacing w:after="140"/>
      </w:pPr>
      <w:r>
        <w:rPr>
          <w:rFonts w:ascii="Arial" w:cs="Arial" w:eastAsia="Arial" w:hAnsi="Arial"/>
          <w:b/>
          <w:bCs/>
          <w:sz w:val="22"/>
          <w:szCs w:val="22"/>
        </w:rPr>
        <w:t xml:space="preserve">P5 — Identity is self-sovereign, resolution is federated. </w:t>
      </w:r>
      <w:r>
        <w:rPr>
          <w:rFonts w:ascii="Arial" w:cs="Arial" w:eastAsia="Arial" w:hAnsi="Arial"/>
          <w:sz w:val="22"/>
          <w:szCs w:val="22"/>
        </w:rPr>
        <w:t xml:space="preserve">No central registry owns names. The Bonafide validator network resolves addresses through majority consensus. No single node—including the steward organization—can unilaterally revoke or reassign an identity.</w:t>
      </w:r>
    </w:p>
    <w:p>
      <w:pPr>
        <w:spacing w:after="140"/>
      </w:pPr>
      <w:r>
        <w:rPr>
          <w:rFonts w:ascii="Arial" w:cs="Arial" w:eastAsia="Arial" w:hAnsi="Arial"/>
          <w:b/>
          <w:bCs/>
          <w:sz w:val="22"/>
          <w:szCs w:val="22"/>
        </w:rPr>
        <w:t xml:space="preserve">P6 — This specification covers identity, not access control. </w:t>
      </w:r>
      <w:r>
        <w:rPr>
          <w:rFonts w:ascii="Arial" w:cs="Arial" w:eastAsia="Arial" w:hAnsi="Arial"/>
          <w:sz w:val="22"/>
          <w:szCs w:val="22"/>
        </w:rPr>
        <w:t xml:space="preserve">Who you are, whether you are authentic, and how to reach you. What you are permitted to do within a specific platform is governed by that platform’s permission layer, which consumes Bonafide identities as input.</w:t>
      </w:r>
    </w:p>
    <w:p>
      <w:r>
        <w:br w:type="page"/>
      </w:r>
    </w:p>
    <w:p>
      <w:pPr>
        <w:pStyle w:val="Heading1"/>
      </w:pPr>
      <w:r>
        <w:rPr>
          <w:rFonts w:ascii="Arial" w:cs="Arial" w:eastAsia="Arial" w:hAnsi="Arial"/>
        </w:rPr>
        <w:t xml:space="preserve">3. Identity Classes</w:t>
      </w:r>
    </w:p>
    <w:p>
      <w:pPr>
        <w:spacing w:after="140"/>
      </w:pPr>
      <w:r>
        <w:rPr>
          <w:rFonts w:ascii="Arial" w:cs="Arial" w:eastAsia="Arial" w:hAnsi="Arial"/>
          <w:sz w:val="22"/>
          <w:szCs w:val="22"/>
        </w:rPr>
        <w:t xml:space="preserve">Three identity classes exist in the Bonafide protocol. All are addressed with the @ sigil. All resolve through the Bonafide validator network. All use the .id suffix as the Bonafide namespace marker.</w:t>
      </w:r>
    </w:p>
    <w:p>
      <w:pPr>
        <w:pStyle w:val="Heading2"/>
      </w:pPr>
      <w:r>
        <w:rPr>
          <w:rFonts w:ascii="Arial" w:cs="Arial" w:eastAsia="Arial" w:hAnsi="Arial"/>
        </w:rPr>
        <w:t xml:space="preserve">3.1 Human Identity</w:t>
      </w:r>
    </w:p>
    <w:p>
      <w:pPr>
        <w:spacing w:after="140"/>
      </w:pPr>
      <w:r>
        <w:rPr>
          <w:rFonts w:ascii="Arial" w:cs="Arial" w:eastAsia="Arial" w:hAnsi="Arial"/>
          <w:sz w:val="22"/>
          <w:szCs w:val="22"/>
        </w:rPr>
        <w:t xml:space="preserve">A human vault identity rooted in a device-native secure element. The root key never leaves the device. Per-institution branch keys are derived deterministically from the Bio Root but are cryptographically unlinkable across institutions without an explicit user-issued linkage attestation. Human identities are authenticated through the passwordless multi-factor mechanism defined in Part 3.</w:t>
      </w:r>
    </w:p>
    <w:p>
      <w:pPr>
        <w:pStyle w:val="Heading2"/>
      </w:pPr>
      <w:r>
        <w:rPr>
          <w:rFonts w:ascii="Arial" w:cs="Arial" w:eastAsia="Arial" w:hAnsi="Arial"/>
        </w:rPr>
        <w:t xml:space="preserve">3.2 Institutional Identity</w:t>
      </w:r>
    </w:p>
    <w:p>
      <w:pPr>
        <w:spacing w:after="140"/>
      </w:pPr>
      <w:r>
        <w:rPr>
          <w:rFonts w:ascii="Arial" w:cs="Arial" w:eastAsia="Arial" w:hAnsi="Arial"/>
          <w:sz w:val="22"/>
          <w:szCs w:val="22"/>
        </w:rPr>
        <w:t xml:space="preserve">An institutional vault identity. Operates identically to a human identity at the protocol level. The distinction is semantic and governance-level—institutional vaults are authorized by organizational credentials rather than biometric personhood. Institutional identities correspond to the participation model defined in Part 1, Section 6.2.</w:t>
      </w:r>
    </w:p>
    <w:p>
      <w:pPr>
        <w:pStyle w:val="Heading2"/>
      </w:pPr>
      <w:r>
        <w:rPr>
          <w:rFonts w:ascii="Arial" w:cs="Arial" w:eastAsia="Arial" w:hAnsi="Arial"/>
        </w:rPr>
        <w:t xml:space="preserve">3.3 Agent Identity</w:t>
      </w:r>
    </w:p>
    <w:p>
      <w:pPr>
        <w:spacing w:after="140"/>
      </w:pPr>
      <w:r>
        <w:rPr>
          <w:rFonts w:ascii="Arial" w:cs="Arial" w:eastAsia="Arial" w:hAnsi="Arial"/>
          <w:sz w:val="22"/>
          <w:szCs w:val="22"/>
        </w:rPr>
        <w:t xml:space="preserve">An agent or agent-collective identity, indicated by the [bot] qualifier. Every agent identity is anchored to a principal—a human or institutional vault—expressed as a namespace path. The principal is the accountable party. Agents cannot exist without a principal. Agent trust score ceilings are bounded by their principal’s trust score.</w:t>
      </w:r>
    </w:p>
    <w:p>
      <w:r>
        <w:br w:type="page"/>
      </w:r>
    </w:p>
    <w:p>
      <w:pPr>
        <w:pStyle w:val="Heading1"/>
      </w:pPr>
      <w:r>
        <w:rPr>
          <w:rFonts w:ascii="Arial" w:cs="Arial" w:eastAsia="Arial" w:hAnsi="Arial"/>
        </w:rPr>
        <w:t xml:space="preserve">4. Address Grammar</w:t>
      </w:r>
    </w:p>
    <w:p>
      <w:pPr>
        <w:pStyle w:val="Heading2"/>
      </w:pPr>
      <w:r>
        <w:rPr>
          <w:rFonts w:ascii="Arial" w:cs="Arial" w:eastAsia="Arial" w:hAnsi="Arial"/>
        </w:rPr>
        <w:t xml:space="preserve">4.1 Formal Grammar</w:t>
      </w:r>
    </w:p>
    <w:p>
      <w:pPr>
        <w:spacing w:after="140"/>
      </w:pPr>
      <w:r>
        <w:rPr>
          <w:rFonts w:ascii="Consolas" w:cs="Consolas" w:eastAsia="Consolas" w:hAnsi="Consolas"/>
          <w:sz w:val="20"/>
          <w:szCs w:val="20"/>
        </w:rPr>
        <w:t xml:space="preserve">address       = sigil name [namespace] [pin] [qualifiers] suffix</w:t>
      </w:r>
    </w:p>
    <w:p>
      <w:pPr>
        <w:spacing w:after="140"/>
      </w:pPr>
      <w:r>
        <w:rPr>
          <w:rFonts w:ascii="Consolas" w:cs="Consolas" w:eastAsia="Consolas" w:hAnsi="Consolas"/>
          <w:sz w:val="20"/>
          <w:szCs w:val="20"/>
        </w:rPr>
        <w:t xml:space="preserve">sigil         = "@" | "#"</w:t>
      </w:r>
    </w:p>
    <w:p>
      <w:pPr>
        <w:spacing w:after="140"/>
      </w:pPr>
      <w:r>
        <w:rPr>
          <w:rFonts w:ascii="Consolas" w:cs="Consolas" w:eastAsia="Consolas" w:hAnsi="Consolas"/>
          <w:sz w:val="20"/>
          <w:szCs w:val="20"/>
        </w:rPr>
        <w:t xml:space="preserve">name          = simple-label</w:t>
      </w:r>
    </w:p>
    <w:p>
      <w:pPr>
        <w:spacing w:after="140"/>
      </w:pPr>
      <w:r>
        <w:rPr>
          <w:rFonts w:ascii="Consolas" w:cs="Consolas" w:eastAsia="Consolas" w:hAnsi="Consolas"/>
          <w:sz w:val="20"/>
          <w:szCs w:val="20"/>
        </w:rPr>
        <w:t xml:space="preserve">namespace     = (":" simple-label)+</w:t>
      </w:r>
    </w:p>
    <w:p>
      <w:pPr>
        <w:spacing w:after="140"/>
      </w:pPr>
      <w:r>
        <w:rPr>
          <w:rFonts w:ascii="Consolas" w:cs="Consolas" w:eastAsia="Consolas" w:hAnsi="Consolas"/>
          <w:sz w:val="20"/>
          <w:szCs w:val="20"/>
        </w:rPr>
        <w:t xml:space="preserve">pin           = "+" hash-or-alias</w:t>
      </w:r>
    </w:p>
    <w:p>
      <w:pPr>
        <w:spacing w:after="140"/>
      </w:pPr>
      <w:r>
        <w:rPr>
          <w:rFonts w:ascii="Consolas" w:cs="Consolas" w:eastAsia="Consolas" w:hAnsi="Consolas"/>
          <w:sz w:val="20"/>
          <w:szCs w:val="20"/>
        </w:rPr>
        <w:t xml:space="preserve">qualifiers    = "[" qualifier-list "]"</w:t>
      </w:r>
    </w:p>
    <w:p>
      <w:pPr>
        <w:spacing w:after="140"/>
      </w:pPr>
      <w:r>
        <w:rPr>
          <w:rFonts w:ascii="Consolas" w:cs="Consolas" w:eastAsia="Consolas" w:hAnsi="Consolas"/>
          <w:sz w:val="20"/>
          <w:szCs w:val="20"/>
        </w:rPr>
        <w:t xml:space="preserve">qualifier     = naked-keyword | typed-qualifier</w:t>
      </w:r>
    </w:p>
    <w:p>
      <w:pPr>
        <w:spacing w:after="140"/>
      </w:pPr>
      <w:r>
        <w:rPr>
          <w:rFonts w:ascii="Consolas" w:cs="Consolas" w:eastAsia="Consolas" w:hAnsi="Consolas"/>
          <w:sz w:val="20"/>
          <w:szCs w:val="20"/>
        </w:rPr>
        <w:t xml:space="preserve">suffix        = ".id"</w:t>
      </w:r>
    </w:p>
    <w:p>
      <w:pPr>
        <w:spacing w:after="140"/>
      </w:pPr>
      <w:r>
        <w:rPr>
          <w:rFonts w:ascii="Consolas" w:cs="Consolas" w:eastAsia="Consolas" w:hAnsi="Consolas"/>
          <w:sz w:val="20"/>
          <w:szCs w:val="20"/>
        </w:rPr>
        <w:t xml:space="preserve">display-form  = "@{" human-readable-string "}.id"</w:t>
      </w:r>
    </w:p>
    <w:p>
      <w:pPr>
        <w:spacing w:after="100"/>
      </w:pPr>
    </w:p>
    <w:p>
      <w:pPr>
        <w:pStyle w:val="Heading2"/>
      </w:pPr>
      <w:r>
        <w:rPr>
          <w:rFonts w:ascii="Arial" w:cs="Arial" w:eastAsia="Arial" w:hAnsi="Arial"/>
        </w:rPr>
        <w:t xml:space="preserve">4.2 Grammar Components</w:t>
      </w:r>
    </w:p>
    <w:p>
      <w:pPr>
        <w:spacing w:after="140"/>
      </w:pPr>
      <w:r>
        <w:rPr>
          <w:rFonts w:ascii="Arial" w:cs="Arial" w:eastAsia="Arial" w:hAnsi="Arial"/>
          <w:b/>
          <w:bCs/>
          <w:sz w:val="22"/>
          <w:szCs w:val="22"/>
        </w:rPr>
        <w:t xml:space="preserve">Sigil: </w:t>
      </w:r>
      <w:r>
        <w:rPr>
          <w:rFonts w:ascii="Arial" w:cs="Arial" w:eastAsia="Arial" w:hAnsi="Arial"/>
          <w:sz w:val="22"/>
          <w:szCs w:val="22"/>
        </w:rPr>
        <w:t xml:space="preserve">@ for identity (human, institutional, or agent). # for topic, community, or channel.</w:t>
      </w:r>
    </w:p>
    <w:p>
      <w:pPr>
        <w:spacing w:after="140"/>
      </w:pPr>
      <w:r>
        <w:rPr>
          <w:rFonts w:ascii="Arial" w:cs="Arial" w:eastAsia="Arial" w:hAnsi="Arial"/>
          <w:b/>
          <w:bCs/>
          <w:sz w:val="22"/>
          <w:szCs w:val="22"/>
        </w:rPr>
        <w:t xml:space="preserve">Name: </w:t>
      </w:r>
      <w:r>
        <w:rPr>
          <w:rFonts w:ascii="Arial" w:cs="Arial" w:eastAsia="Arial" w:hAnsi="Arial"/>
          <w:sz w:val="22"/>
          <w:szCs w:val="22"/>
        </w:rPr>
        <w:t xml:space="preserve">Simple lowercase label. Letters, digits, hyphens, underscores. No numbers appended for disambiguation—collision is solved by the qualifier and alias systems, not by registration constraints.</w:t>
      </w:r>
    </w:p>
    <w:p>
      <w:pPr>
        <w:spacing w:after="140"/>
      </w:pPr>
      <w:r>
        <w:rPr>
          <w:rFonts w:ascii="Arial" w:cs="Arial" w:eastAsia="Arial" w:hAnsi="Arial"/>
          <w:b/>
          <w:bCs/>
          <w:sz w:val="22"/>
          <w:szCs w:val="22"/>
        </w:rPr>
        <w:t xml:space="preserve">Namespace path (colon): </w:t>
      </w:r>
      <w:r>
        <w:rPr>
          <w:rFonts w:ascii="Arial" w:cs="Arial" w:eastAsia="Arial" w:hAnsi="Arial"/>
          <w:sz w:val="22"/>
          <w:szCs w:val="22"/>
        </w:rPr>
        <w:t xml:space="preserve">Colon-separated hierarchy expressing contextual scoping. Direction is meaningful to the resolver but not globally ordered. Domain-specific ordering conventions are defined by the namespace owner, not by this specification.</w:t>
      </w:r>
    </w:p>
    <w:p>
      <w:pPr>
        <w:spacing w:after="140"/>
      </w:pPr>
      <w:r>
        <w:rPr>
          <w:rFonts w:ascii="Arial" w:cs="Arial" w:eastAsia="Arial" w:hAnsi="Arial"/>
          <w:b/>
          <w:bCs/>
          <w:sz w:val="22"/>
          <w:szCs w:val="22"/>
        </w:rPr>
        <w:t xml:space="preserve">Pin (+): </w:t>
      </w:r>
      <w:r>
        <w:rPr>
          <w:rFonts w:ascii="Arial" w:cs="Arial" w:eastAsia="Arial" w:hAnsi="Arial"/>
          <w:sz w:val="22"/>
          <w:szCs w:val="22"/>
        </w:rPr>
        <w:t xml:space="preserve">Cryptographic disambiguation. Appends a vault branch hash or a named alias of that hash to uniquely identify one specific identity where a name alone is ambiguous.</w:t>
      </w:r>
    </w:p>
    <w:p>
      <w:pPr>
        <w:spacing w:after="140"/>
      </w:pPr>
      <w:r>
        <w:rPr>
          <w:rFonts w:ascii="Arial" w:cs="Arial" w:eastAsia="Arial" w:hAnsi="Arial"/>
          <w:b/>
          <w:bCs/>
          <w:sz w:val="22"/>
          <w:szCs w:val="22"/>
        </w:rPr>
        <w:t xml:space="preserve">Qualifiers ([]): </w:t>
      </w:r>
      <w:r>
        <w:rPr>
          <w:rFonts w:ascii="Arial" w:cs="Arial" w:eastAsia="Arial" w:hAnsi="Arial"/>
          <w:sz w:val="22"/>
          <w:szCs w:val="22"/>
        </w:rPr>
        <w:t xml:space="preserve">Structured metadata about the identity or topic. See Section 5.</w:t>
      </w:r>
    </w:p>
    <w:p>
      <w:pPr>
        <w:spacing w:after="140"/>
      </w:pPr>
      <w:r>
        <w:rPr>
          <w:rFonts w:ascii="Arial" w:cs="Arial" w:eastAsia="Arial" w:hAnsi="Arial"/>
          <w:b/>
          <w:bCs/>
          <w:sz w:val="22"/>
          <w:szCs w:val="22"/>
        </w:rPr>
        <w:t xml:space="preserve">Display form ({}): </w:t>
      </w:r>
      <w:r>
        <w:rPr>
          <w:rFonts w:ascii="Arial" w:cs="Arial" w:eastAsia="Arial" w:hAnsi="Arial"/>
          <w:sz w:val="22"/>
          <w:szCs w:val="22"/>
        </w:rPr>
        <w:t xml:space="preserve">Curly braces signal human-readable presentation. Spaces, capitalization, and special characters are permitted inside {}. Resolved against the alias registry to canonical form.</w:t>
      </w:r>
    </w:p>
    <w:p>
      <w:pPr>
        <w:spacing w:after="140"/>
      </w:pPr>
      <w:r>
        <w:rPr>
          <w:rFonts w:ascii="Arial" w:cs="Arial" w:eastAsia="Arial" w:hAnsi="Arial"/>
          <w:b/>
          <w:bCs/>
          <w:sz w:val="22"/>
          <w:szCs w:val="22"/>
        </w:rPr>
        <w:t xml:space="preserve">Suffix .id: </w:t>
      </w:r>
      <w:r>
        <w:rPr>
          <w:rFonts w:ascii="Arial" w:cs="Arial" w:eastAsia="Arial" w:hAnsi="Arial"/>
          <w:sz w:val="22"/>
          <w:szCs w:val="22"/>
        </w:rPr>
        <w:t xml:space="preserve">Indicates the address resolves through the Bonafide vault and validator network. Not a DNS domain. Not an email domain. A Bonafide namespace marker—analogous to how .onion resolves through Tor, not through ICANN.</w:t>
      </w:r>
    </w:p>
    <w:p>
      <w:pPr>
        <w:pStyle w:val="Heading2"/>
      </w:pPr>
      <w:r>
        <w:rPr>
          <w:rFonts w:ascii="Arial" w:cs="Arial" w:eastAsia="Arial" w:hAnsi="Arial"/>
        </w:rPr>
        <w:t xml:space="preserve">4.3 Examples Across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Form</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Simple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@alice.id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Scope-local, unambiguous within current context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Namespace-scoped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@alice:design.id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Alice in the design namespace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Cryptographically pinned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@alice:design.id+7f3a9c2d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Pinned to a specific vault branch hash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Attested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@alice:design.id[attest:md]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Medical doctor credential verified via ZK proof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Display form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@{Alice Chen+Disney Design Studio}.id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Human-readable, resolves to canonical form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@assistant:alice.id[bot, model:claude:sonnet:4.6]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Alice’s personal AI agent with model attestation</w:t>
            </w:r>
          </w:p>
        </w:tc>
      </w:tr>
    </w:tbl>
    <w:p>
      <w:pPr>
        <w:spacing w:after="100"/>
      </w:pPr>
    </w:p>
    <w:p>
      <w:r>
        <w:br w:type="page"/>
      </w:r>
    </w:p>
    <w:p>
      <w:pPr>
        <w:pStyle w:val="Heading1"/>
      </w:pPr>
      <w:r>
        <w:rPr>
          <w:rFonts w:ascii="Arial" w:cs="Arial" w:eastAsia="Arial" w:hAnsi="Arial"/>
        </w:rPr>
        <w:t xml:space="preserve">5. Qualifier System</w:t>
      </w:r>
    </w:p>
    <w:p>
      <w:pPr>
        <w:spacing w:after="140"/>
      </w:pPr>
      <w:r>
        <w:rPr>
          <w:rFonts w:ascii="Arial" w:cs="Arial" w:eastAsia="Arial" w:hAnsi="Arial"/>
          <w:sz w:val="22"/>
          <w:szCs w:val="22"/>
        </w:rPr>
        <w:t xml:space="preserve">All structured metadata about an identity or topic is expressed as qualifiers inside []. Qualifiers are typed keyword:value pairs or reserved naked keywords.</w:t>
      </w:r>
    </w:p>
    <w:p>
      <w:pPr>
        <w:pStyle w:val="Heading2"/>
      </w:pPr>
      <w:r>
        <w:rPr>
          <w:rFonts w:ascii="Arial" w:cs="Arial" w:eastAsia="Arial" w:hAnsi="Arial"/>
        </w:rPr>
        <w:t xml:space="preserve">5.1 Naked Keywords (Reserved)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Keyword</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Meaning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This identity is an agent or agent collective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private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Access restricted to invited members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Explicitly open, no attestation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sealed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Invitation only, shared group key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Participation is anonymous within this context</w:t>
            </w:r>
          </w:p>
        </w:tc>
      </w:tr>
    </w:tbl>
    <w:p>
      <w:pPr>
        <w:spacing w:after="100"/>
      </w:pPr>
    </w:p>
    <w:p>
      <w:pPr>
        <w:pStyle w:val="Heading2"/>
      </w:pPr>
      <w:r>
        <w:rPr>
          <w:rFonts w:ascii="Arial" w:cs="Arial" w:eastAsia="Arial" w:hAnsi="Arial"/>
        </w:rPr>
        <w:t xml:space="preserve">5.2 Typed Qualifiers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Qualifier</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attest: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attest:credential-type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Credential attestation verified via blind validator network (Part 5). Supports wildcards: attest:*.md matches any medical credential.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model:vendor:family:version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model attestation for agent identities. Verifiable by third parties. Updatable when the model 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geo:country/subdivision or geo:lat,lng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Geographic scope. ISO country/subdivision codes or decimal coordinates.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route:channel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 channel preference: email, sms, voice, post, vault.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alias: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alias:public or alias:private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Controls whether an alias is publicly resolvable or private to the vault owner.</w:t>
            </w:r>
          </w:p>
        </w:tc>
      </w:tr>
    </w:tbl>
    <w:p>
      <w:pPr>
        <w:spacing w:after="100"/>
      </w:pPr>
    </w:p>
    <w:p>
      <w:pPr>
        <w:pStyle w:val="Heading2"/>
      </w:pPr>
      <w:r>
        <w:rPr>
          <w:rFonts w:ascii="Arial" w:cs="Arial" w:eastAsia="Arial" w:hAnsi="Arial"/>
        </w:rPr>
        <w:t xml:space="preserve">5.3 Composability and Wildcards</w:t>
      </w:r>
    </w:p>
    <w:p>
      <w:pPr>
        <w:spacing w:after="140"/>
      </w:pPr>
      <w:r>
        <w:rPr>
          <w:rFonts w:ascii="Arial" w:cs="Arial" w:eastAsia="Arial" w:hAnsi="Arial"/>
          <w:sz w:val="22"/>
          <w:szCs w:val="22"/>
        </w:rPr>
        <w:t xml:space="preserve">Multiple qualifiers are comma-separated within a single [] block. Order has no significance. Attestation qualifiers support wildcard patterns for policy expressions: [attest:*.md] matches any medical doctor credential, [attest:us.*] matches any US-issued credential, [attest:*] matches any valid attestation. This enables access policies to be expressed as qualifier requirements without enumerating every valid credential type.</w:t>
      </w:r>
    </w:p>
    <w:p>
      <w:r>
        <w:br w:type="page"/>
      </w:r>
    </w:p>
    <w:p>
      <w:pPr>
        <w:pStyle w:val="Heading1"/>
      </w:pPr>
      <w:r>
        <w:rPr>
          <w:rFonts w:ascii="Arial" w:cs="Arial" w:eastAsia="Arial" w:hAnsi="Arial"/>
        </w:rPr>
        <w:t xml:space="preserve">6. Namespace and Scoping</w:t>
      </w:r>
    </w:p>
    <w:p>
      <w:pPr>
        <w:pStyle w:val="Heading2"/>
      </w:pPr>
      <w:r>
        <w:rPr>
          <w:rFonts w:ascii="Arial" w:cs="Arial" w:eastAsia="Arial" w:hAnsi="Arial"/>
        </w:rPr>
        <w:t xml:space="preserve">6.1 Scope-Local Namespaces</w:t>
      </w:r>
    </w:p>
    <w:p>
      <w:pPr>
        <w:spacing w:after="140"/>
      </w:pPr>
      <w:r>
        <w:rPr>
          <w:rFonts w:ascii="Arial" w:cs="Arial" w:eastAsia="Arial" w:hAnsi="Arial"/>
          <w:sz w:val="22"/>
          <w:szCs w:val="22"/>
        </w:rPr>
        <w:t xml:space="preserve">Within a platform or institution, names are locally unique within a scope (community, department, workspace), not globally. Cross-scope reference qualifies with the scope name. Full global reference qualifies with the platform’s institutional namespace and the .id suffix.</w:t>
      </w:r>
    </w:p>
    <w:p>
      <w:pPr>
        <w:pStyle w:val="Heading2"/>
      </w:pPr>
      <w:r>
        <w:rPr>
          <w:rFonts w:ascii="Arial" w:cs="Arial" w:eastAsia="Arial" w:hAnsi="Arial"/>
        </w:rPr>
        <w:t xml:space="preserve">6.2 Institutional Namespaces</w:t>
      </w:r>
    </w:p>
    <w:p>
      <w:pPr>
        <w:spacing w:after="140"/>
      </w:pPr>
      <w:r>
        <w:rPr>
          <w:rFonts w:ascii="Arial" w:cs="Arial" w:eastAsia="Arial" w:hAnsi="Arial"/>
          <w:sz w:val="22"/>
          <w:szCs w:val="22"/>
        </w:rPr>
        <w:t xml:space="preserve">Each institution operates a namespace within Bonafide corresponding to its institutional identity. The namespace contains all identities that institution has peered with—each represented by a per-institution branch hash that is cryptographically unlinkable to the same user’s identity at any other institution. This is the namespace infrastructure defined in Part 6, Section 5, now formalized with addressing grammar.</w:t>
      </w:r>
    </w:p>
    <w:p>
      <w:pPr>
        <w:pStyle w:val="Heading2"/>
      </w:pPr>
      <w:r>
        <w:rPr>
          <w:rFonts w:ascii="Arial" w:cs="Arial" w:eastAsia="Arial" w:hAnsi="Arial"/>
        </w:rPr>
        <w:t xml:space="preserve">6.3 Namespace Ordering</w:t>
      </w:r>
    </w:p>
    <w:p>
      <w:pPr>
        <w:spacing w:after="140"/>
      </w:pPr>
      <w:r>
        <w:rPr>
          <w:rFonts w:ascii="Arial" w:cs="Arial" w:eastAsia="Arial" w:hAnsi="Arial"/>
          <w:sz w:val="22"/>
          <w:szCs w:val="22"/>
        </w:rPr>
        <w:t xml:space="preserve">Namespace path components are not globally ordered. The colon is a generic scope separator, not an ordered hierarchy indicator. Domain-specific ordering conventions—geographic, regulatory, sectoral—are defined by the namespace owner.</w:t>
      </w:r>
    </w:p>
    <w:p>
      <w:pPr>
        <w:pStyle w:val="Heading2"/>
      </w:pPr>
      <w:r>
        <w:rPr>
          <w:rFonts w:ascii="Arial" w:cs="Arial" w:eastAsia="Arial" w:hAnsi="Arial"/>
        </w:rPr>
        <w:t xml:space="preserve">6.4 Cross-Platform Identity</w:t>
      </w:r>
    </w:p>
    <w:p>
      <w:pPr>
        <w:spacing w:after="140"/>
      </w:pPr>
      <w:r>
        <w:rPr>
          <w:rFonts w:ascii="Arial" w:cs="Arial" w:eastAsia="Arial" w:hAnsi="Arial"/>
          <w:sz w:val="22"/>
          <w:szCs w:val="22"/>
        </w:rPr>
        <w:t xml:space="preserve">The same vault presents different branch IDs to different institutions. Cross-platform linkage requires an explicit user-issued linkage attestation. The linkage is temporary and revocable. Without an attestation, two branch IDs from the same vault are computationally indistinguishable from two branch IDs from different vaults. This is the cryptographic isolation property from Part 1, Section 3.4, applied to the identity layer.</w:t>
      </w:r>
    </w:p>
    <w:p>
      <w:r>
        <w:br w:type="page"/>
      </w:r>
    </w:p>
    <w:p>
      <w:pPr>
        <w:pStyle w:val="Heading1"/>
      </w:pPr>
      <w:r>
        <w:rPr>
          <w:rFonts w:ascii="Arial" w:cs="Arial" w:eastAsia="Arial" w:hAnsi="Arial"/>
        </w:rPr>
        <w:t xml:space="preserve">7. Alias System</w:t>
      </w:r>
    </w:p>
    <w:p>
      <w:pPr>
        <w:pStyle w:val="Heading2"/>
      </w:pPr>
      <w:r>
        <w:rPr>
          <w:rFonts w:ascii="Arial" w:cs="Arial" w:eastAsia="Arial" w:hAnsi="Arial"/>
        </w:rPr>
        <w:t xml:space="preserve">7.1 What Aliases Are</w:t>
      </w:r>
    </w:p>
    <w:p>
      <w:pPr>
        <w:spacing w:after="140"/>
      </w:pPr>
      <w:r>
        <w:rPr>
          <w:rFonts w:ascii="Arial" w:cs="Arial" w:eastAsia="Arial" w:hAnsi="Arial"/>
          <w:sz w:val="22"/>
          <w:szCs w:val="22"/>
        </w:rPr>
        <w:t xml:space="preserve">Aliases are vault-owned, contextual presentation layers over a cryptographic identity. They are not usernames. They are not owned by any platform. Every alias resolves to a vault branch ID and is governed entirely by the vault owner.</w:t>
      </w:r>
    </w:p>
    <w:p>
      <w:pPr>
        <w:spacing w:after="140"/>
      </w:pPr>
      <w:r>
        <w:rPr>
          <w:rFonts w:ascii="Arial" w:cs="Arial" w:eastAsia="Arial" w:hAnsi="Arial"/>
          <w:sz w:val="22"/>
          <w:szCs w:val="22"/>
        </w:rPr>
        <w:t xml:space="preserve">A person maintains aliases for parallel life contexts—a public social identity, a professional identity, a pseudonymous community identity, a colleague-facing name. None is more “real” than the others. All are valid, all are revocable, all coexist without correlation unless the owner discloses a linkage.</w:t>
      </w:r>
    </w:p>
    <w:p>
      <w:pPr>
        <w:pStyle w:val="Heading2"/>
      </w:pPr>
      <w:r>
        <w:rPr>
          <w:rFonts w:ascii="Arial" w:cs="Arial" w:eastAsia="Arial" w:hAnsi="Arial"/>
        </w:rPr>
        <w:t xml:space="preserve">7.2 Alias Registration</w:t>
      </w:r>
    </w:p>
    <w:p>
      <w:pPr>
        <w:spacing w:after="140"/>
      </w:pPr>
      <w:r>
        <w:rPr>
          <w:rFonts w:ascii="Arial" w:cs="Arial" w:eastAsia="Arial" w:hAnsi="Arial"/>
          <w:sz w:val="22"/>
          <w:szCs w:val="22"/>
        </w:rPr>
        <w:t xml:space="preserve">Alias registration publishes a minimal commitment to the Bonafide distributed registry: an alias hash, a signature from the persona’s branch key, an optional scope constraint, a timestamp, and an optional expiry. No PII is stored. No email, phone, or real name appears in the registry. The alias hash and a signature from the persona’s branch key are the complete registration record.</w:t>
      </w:r>
    </w:p>
    <w:p>
      <w:pPr>
        <w:pStyle w:val="Heading2"/>
      </w:pPr>
      <w:r>
        <w:rPr>
          <w:rFonts w:ascii="Arial" w:cs="Arial" w:eastAsia="Arial" w:hAnsi="Arial"/>
        </w:rPr>
        <w:t xml:space="preserve">7.3 Liveness Requirement</w:t>
      </w:r>
    </w:p>
    <w:p>
      <w:pPr>
        <w:spacing w:after="140"/>
      </w:pPr>
      <w:r>
        <w:rPr>
          <w:rFonts w:ascii="Arial" w:cs="Arial" w:eastAsia="Arial" w:hAnsi="Arial"/>
          <w:sz w:val="22"/>
          <w:szCs w:val="22"/>
        </w:rPr>
        <w:t xml:space="preserve">Alias registration requires proof of personhood via the device’s secure element. Behavioral liveness and device attestation are the registration gate—not CAPTCHA. The vault IS the proof of personhood. Registration of a new alias requires a signed request from a vault that has passed liveness verification.</w:t>
      </w:r>
    </w:p>
    <w:p>
      <w:pPr>
        <w:pStyle w:val="Heading2"/>
      </w:pPr>
      <w:r>
        <w:rPr>
          <w:rFonts w:ascii="Arial" w:cs="Arial" w:eastAsia="Arial" w:hAnsi="Arial"/>
        </w:rPr>
        <w:t xml:space="preserve">7.4 Hash Aliases</w:t>
      </w:r>
    </w:p>
    <w:p>
      <w:pPr>
        <w:spacing w:after="140"/>
      </w:pPr>
      <w:r>
        <w:rPr>
          <w:rFonts w:ascii="Arial" w:cs="Arial" w:eastAsia="Arial" w:hAnsi="Arial"/>
          <w:sz w:val="22"/>
          <w:szCs w:val="22"/>
        </w:rPr>
        <w:t xml:space="preserve">Vault branch hashes can be given human-readable aliases stored in the vault. The hash alias is usable in the + pin position for disambiguation without exposing raw hashes in user-facing contexts.</w:t>
      </w:r>
    </w:p>
    <w:p>
      <w:pPr>
        <w:pStyle w:val="Heading2"/>
      </w:pPr>
      <w:r>
        <w:rPr>
          <w:rFonts w:ascii="Arial" w:cs="Arial" w:eastAsia="Arial" w:hAnsi="Arial"/>
        </w:rPr>
        <w:t xml:space="preserve">7.5 Personal Alias Resolution</w:t>
      </w:r>
    </w:p>
    <w:p>
      <w:pPr>
        <w:spacing w:after="140"/>
      </w:pPr>
      <w:r>
        <w:rPr>
          <w:rFonts w:ascii="Arial" w:cs="Arial" w:eastAsia="Arial" w:hAnsi="Arial"/>
          <w:sz w:val="22"/>
          <w:szCs w:val="22"/>
        </w:rPr>
        <w:t xml:space="preserve">A user who frequently addresses a specific identity can alias their branch hash privately in their own vault. The alias is private to the vault owner and never published. Subsequent addressing resolves directly without disambiguation.</w:t>
      </w:r>
    </w:p>
    <w:p>
      <w:pPr>
        <w:pStyle w:val="Heading2"/>
      </w:pPr>
      <w:r>
        <w:rPr>
          <w:rFonts w:ascii="Arial" w:cs="Arial" w:eastAsia="Arial" w:hAnsi="Arial"/>
        </w:rPr>
        <w:t xml:space="preserve">7.6 Alias Portability</w:t>
      </w:r>
    </w:p>
    <w:p>
      <w:pPr>
        <w:spacing w:after="140"/>
      </w:pPr>
      <w:r>
        <w:rPr>
          <w:rFonts w:ascii="Arial" w:cs="Arial" w:eastAsia="Arial" w:hAnsi="Arial"/>
          <w:sz w:val="22"/>
          <w:szCs w:val="22"/>
        </w:rPr>
        <w:t xml:space="preserve">Aliases are portable across platforms. A creator who builds audience under an alias on one platform carries that alias—and the vault-attested reputation history—to any other Bonafide-compliant platform. No platform can hold a user hostage by orphaning their alias. The alias lives in the vault, not in any platform’s database.</w:t>
      </w:r>
    </w:p>
    <w:p>
      <w:pPr>
        <w:pStyle w:val="Heading2"/>
      </w:pPr>
      <w:r>
        <w:rPr>
          <w:rFonts w:ascii="Arial" w:cs="Arial" w:eastAsia="Arial" w:hAnsi="Arial"/>
        </w:rPr>
        <w:t xml:space="preserve">7.7 Permanent vs. Active Addressing</w:t>
      </w:r>
    </w:p>
    <w:p>
      <w:pPr>
        <w:spacing w:after="140"/>
      </w:pPr>
      <w:r>
        <w:rPr>
          <w:rFonts w:ascii="Arial" w:cs="Arial" w:eastAsia="Arial" w:hAnsi="Arial"/>
          <w:b/>
          <w:bCs/>
          <w:sz w:val="22"/>
          <w:szCs w:val="22"/>
        </w:rPr>
        <w:t xml:space="preserve">Permanent address: </w:t>
      </w:r>
      <w:r>
        <w:rPr>
          <w:rFonts w:ascii="Arial" w:cs="Arial" w:eastAsia="Arial" w:hAnsi="Arial"/>
          <w:sz w:val="22"/>
          <w:szCs w:val="22"/>
        </w:rPr>
        <w:t xml:space="preserve">Resolution pointer only. Never receives content directly. Published on profiles, business cards, external sites. Routes to whichever active address is currently designated for a given sender class.</w:t>
      </w:r>
    </w:p>
    <w:p>
      <w:pPr>
        <w:spacing w:after="140"/>
      </w:pPr>
      <w:r>
        <w:rPr>
          <w:rFonts w:ascii="Arial" w:cs="Arial" w:eastAsia="Arial" w:hAnsi="Arial"/>
          <w:b/>
          <w:bCs/>
          <w:sz w:val="22"/>
          <w:szCs w:val="22"/>
        </w:rPr>
        <w:t xml:space="preserve">Active address: </w:t>
      </w:r>
      <w:r>
        <w:rPr>
          <w:rFonts w:ascii="Arial" w:cs="Arial" w:eastAsia="Arial" w:hAnsi="Arial"/>
          <w:sz w:val="22"/>
          <w:szCs w:val="22"/>
        </w:rPr>
        <w:t xml:space="preserve">Where messages arrive. Rotatable, expirable, context-scoped. Senders only ever know the permanent address. Routing to the active address is handled by the Bonafide validator network per the vault’s current routing policy.</w:t>
      </w:r>
    </w:p>
    <w:p>
      <w:pPr>
        <w:spacing w:after="140"/>
      </w:pPr>
      <w:r>
        <w:rPr>
          <w:rFonts w:ascii="Arial" w:cs="Arial" w:eastAsia="Arial" w:hAnsi="Arial"/>
          <w:sz w:val="22"/>
          <w:szCs w:val="22"/>
        </w:rPr>
        <w:t xml:space="preserve">This separation means a user never changes their public address. They change the routing behind it. Institutions and contacts are unaware of the rotation. This formalizes the proxy identity model from Part 4, Section 2.</w:t>
      </w:r>
    </w:p>
    <w:p>
      <w:r>
        <w:br w:type="page"/>
      </w:r>
    </w:p>
    <w:p>
      <w:pPr>
        <w:pStyle w:val="Heading1"/>
      </w:pPr>
      <w:r>
        <w:rPr>
          <w:rFonts w:ascii="Arial" w:cs="Arial" w:eastAsia="Arial" w:hAnsi="Arial"/>
        </w:rPr>
        <w:t xml:space="preserve">8. Display Resolution</w:t>
      </w:r>
    </w:p>
    <w:p>
      <w:pPr>
        <w:pStyle w:val="Heading2"/>
      </w:pPr>
      <w:r>
        <w:rPr>
          <w:rFonts w:ascii="Arial" w:cs="Arial" w:eastAsia="Arial" w:hAnsi="Arial"/>
        </w:rPr>
        <w:t xml:space="preserve">8.1 The Rendering Rule</w:t>
      </w:r>
    </w:p>
    <w:p>
      <w:pPr>
        <w:spacing w:after="140"/>
      </w:pPr>
      <w:r>
        <w:rPr>
          <w:rFonts w:ascii="Arial" w:cs="Arial" w:eastAsia="Arial" w:hAnsi="Arial"/>
          <w:sz w:val="22"/>
          <w:szCs w:val="22"/>
        </w:rPr>
        <w:t xml:space="preserve">Compliant clients never display a canonical address where a human alias belongs. The resolution pipeline is: canonical address → vault alias registry lookup → context-appropriate alias → rendered display name. What the user sees is always the resolved alias. The canonical address is invisible unless explicitly inspected.</w:t>
      </w:r>
    </w:p>
    <w:p>
      <w:pPr>
        <w:pStyle w:val="Heading2"/>
      </w:pPr>
      <w:r>
        <w:rPr>
          <w:rFonts w:ascii="Arial" w:cs="Arial" w:eastAsia="Arial" w:hAnsi="Arial"/>
        </w:rPr>
        <w:t xml:space="preserve">8.2 Resolution Priority</w:t>
      </w:r>
    </w:p>
    <w:p>
      <w:pPr>
        <w:spacing w:after="140"/>
      </w:pPr>
      <w:r>
        <w:rPr>
          <w:rFonts w:ascii="Arial" w:cs="Arial" w:eastAsia="Arial" w:hAnsi="Arial"/>
          <w:sz w:val="22"/>
          <w:szCs w:val="22"/>
        </w:rPr>
        <w:t xml:space="preserve">For a given address in a given context, the resolver applies in order:</w:t>
      </w:r>
    </w:p>
    <w:p>
      <w:pPr>
        <w:pStyle w:val="ListParagraph"/>
        <w:numPr>
          <w:ilvl w:val="0"/>
          <w:numId w:val="2"/>
        </w:numPr>
        <w:spacing w:after="60"/>
      </w:pPr>
      <w:r>
        <w:rPr>
          <w:rFonts w:ascii="Arial" w:cs="Arial" w:eastAsia="Arial" w:hAnsi="Arial"/>
          <w:b/>
          <w:bCs/>
          <w:sz w:val="22"/>
          <w:szCs w:val="22"/>
        </w:rPr>
        <w:t xml:space="preserve">Priority 1 — Personal vault alias: </w:t>
      </w:r>
      <w:r>
        <w:rPr>
          <w:rFonts w:ascii="Arial" w:cs="Arial" w:eastAsia="Arial" w:hAnsi="Arial"/>
          <w:sz w:val="22"/>
          <w:szCs w:val="22"/>
        </w:rPr>
        <w:t xml:space="preserve">if the viewing user has privately aliased this identity, use that.</w:t>
      </w:r>
    </w:p>
    <w:p>
      <w:pPr>
        <w:pStyle w:val="ListParagraph"/>
        <w:numPr>
          <w:ilvl w:val="0"/>
          <w:numId w:val="2"/>
        </w:numPr>
        <w:spacing w:after="60"/>
      </w:pPr>
      <w:r>
        <w:rPr>
          <w:rFonts w:ascii="Arial" w:cs="Arial" w:eastAsia="Arial" w:hAnsi="Arial"/>
          <w:b/>
          <w:bCs/>
          <w:sz w:val="22"/>
          <w:szCs w:val="22"/>
        </w:rPr>
        <w:t xml:space="preserve">Priority 2 — Owner’s published display alias: </w:t>
      </w:r>
      <w:r>
        <w:rPr>
          <w:rFonts w:ascii="Arial" w:cs="Arial" w:eastAsia="Arial" w:hAnsi="Arial"/>
          <w:sz w:val="22"/>
          <w:szCs w:val="22"/>
        </w:rPr>
        <w:t xml:space="preserve">the identity owner’s preferred name for this context.</w:t>
      </w:r>
    </w:p>
    <w:p>
      <w:pPr>
        <w:pStyle w:val="ListParagraph"/>
        <w:numPr>
          <w:ilvl w:val="0"/>
          <w:numId w:val="2"/>
        </w:numPr>
        <w:spacing w:after="60"/>
      </w:pPr>
      <w:r>
        <w:rPr>
          <w:rFonts w:ascii="Arial" w:cs="Arial" w:eastAsia="Arial" w:hAnsi="Arial"/>
          <w:b/>
          <w:bCs/>
          <w:sz w:val="22"/>
          <w:szCs w:val="22"/>
        </w:rPr>
        <w:t xml:space="preserve">Priority 3 — Scope-local alias: </w:t>
      </w:r>
      <w:r>
        <w:rPr>
          <w:rFonts w:ascii="Arial" w:cs="Arial" w:eastAsia="Arial" w:hAnsi="Arial"/>
          <w:sz w:val="22"/>
          <w:szCs w:val="22"/>
        </w:rPr>
        <w:t xml:space="preserve">registered alias within the current scope (community, workspace).</w:t>
      </w:r>
    </w:p>
    <w:p>
      <w:pPr>
        <w:pStyle w:val="ListParagraph"/>
        <w:numPr>
          <w:ilvl w:val="0"/>
          <w:numId w:val="2"/>
        </w:numPr>
        <w:spacing w:after="60"/>
      </w:pPr>
      <w:r>
        <w:rPr>
          <w:rFonts w:ascii="Arial" w:cs="Arial" w:eastAsia="Arial" w:hAnsi="Arial"/>
          <w:b/>
          <w:bCs/>
          <w:sz w:val="22"/>
          <w:szCs w:val="22"/>
        </w:rPr>
        <w:t xml:space="preserve">Priority 4 — Global Bonafide alias: </w:t>
      </w:r>
      <w:r>
        <w:rPr>
          <w:rFonts w:ascii="Arial" w:cs="Arial" w:eastAsia="Arial" w:hAnsi="Arial"/>
          <w:sz w:val="22"/>
          <w:szCs w:val="22"/>
        </w:rPr>
        <w:t xml:space="preserve">registered across the network.</w:t>
      </w:r>
    </w:p>
    <w:p>
      <w:pPr>
        <w:pStyle w:val="ListParagraph"/>
        <w:numPr>
          <w:ilvl w:val="0"/>
          <w:numId w:val="2"/>
        </w:numPr>
        <w:spacing w:after="60"/>
      </w:pPr>
      <w:r>
        <w:rPr>
          <w:rFonts w:ascii="Arial" w:cs="Arial" w:eastAsia="Arial" w:hAnsi="Arial"/>
          <w:b/>
          <w:bCs/>
          <w:sz w:val="22"/>
          <w:szCs w:val="22"/>
        </w:rPr>
        <w:t xml:space="preserve">Priority 5 — Canonical hash short-form: </w:t>
      </w:r>
      <w:r>
        <w:rPr>
          <w:rFonts w:ascii="Arial" w:cs="Arial" w:eastAsia="Arial" w:hAnsi="Arial"/>
          <w:sz w:val="22"/>
          <w:szCs w:val="22"/>
        </w:rPr>
        <w:t xml:space="preserve">last resort, never shown in normal UI.</w:t>
      </w:r>
    </w:p>
    <w:p>
      <w:r>
        <w:br w:type="page"/>
      </w:r>
    </w:p>
    <w:p>
      <w:pPr>
        <w:pStyle w:val="Heading1"/>
      </w:pPr>
      <w:r>
        <w:rPr>
          <w:rFonts w:ascii="Arial" w:cs="Arial" w:eastAsia="Arial" w:hAnsi="Arial"/>
        </w:rPr>
        <w:t xml:space="preserve">9. Topic and Community Addressing</w:t>
      </w:r>
    </w:p>
    <w:p>
      <w:pPr>
        <w:pStyle w:val="Heading2"/>
      </w:pPr>
      <w:r>
        <w:rPr>
          <w:rFonts w:ascii="Arial" w:cs="Arial" w:eastAsia="Arial" w:hAnsi="Arial"/>
        </w:rPr>
        <w:t xml:space="preserve">9.1 Structure</w:t>
      </w:r>
    </w:p>
    <w:p>
      <w:pPr>
        <w:spacing w:after="140"/>
      </w:pPr>
      <w:r>
        <w:rPr>
          <w:rFonts w:ascii="Arial" w:cs="Arial" w:eastAsia="Arial" w:hAnsi="Arial"/>
          <w:sz w:val="22"/>
          <w:szCs w:val="22"/>
        </w:rPr>
        <w:t xml:space="preserve">Topics and communities use the # sigil. The same grammar applies: namespace paths, qualifiers, pins, display forms.</w:t>
      </w:r>
    </w:p>
    <w:p>
      <w:pPr>
        <w:pStyle w:val="Heading2"/>
      </w:pPr>
      <w:r>
        <w:rPr>
          <w:rFonts w:ascii="Arial" w:cs="Arial" w:eastAsia="Arial" w:hAnsi="Arial"/>
        </w:rPr>
        <w:t xml:space="preserve">9.2 Participation Tiers</w:t>
      </w:r>
    </w:p>
    <w:p>
      <w:pPr>
        <w:spacing w:after="140"/>
      </w:pPr>
      <w:r>
        <w:rPr>
          <w:rFonts w:ascii="Arial" w:cs="Arial" w:eastAsia="Arial" w:hAnsi="Arial"/>
          <w:b/>
          <w:bCs/>
          <w:sz w:val="22"/>
          <w:szCs w:val="22"/>
        </w:rPr>
        <w:t xml:space="preserve">Open </w:t>
      </w:r>
      <w:r>
        <w:rPr>
          <w:rFonts w:ascii="Arial" w:cs="Arial" w:eastAsia="Arial" w:hAnsi="Arial"/>
          <w:sz w:val="22"/>
          <w:szCs w:val="22"/>
        </w:rPr>
        <w:t xml:space="preserve">([public] or no qualifier) — Anyone can participate. The namespace key is publicly resolvable.</w:t>
      </w:r>
    </w:p>
    <w:p>
      <w:pPr>
        <w:spacing w:after="140"/>
      </w:pPr>
      <w:r>
        <w:rPr>
          <w:rFonts w:ascii="Arial" w:cs="Arial" w:eastAsia="Arial" w:hAnsi="Arial"/>
          <w:b/>
          <w:bCs/>
          <w:sz w:val="22"/>
          <w:szCs w:val="22"/>
        </w:rPr>
        <w:t xml:space="preserve">Attested </w:t>
      </w:r>
      <w:r>
        <w:rPr>
          <w:rFonts w:ascii="Arial" w:cs="Arial" w:eastAsia="Arial" w:hAnsi="Arial"/>
          <w:sz w:val="22"/>
          <w:szCs w:val="22"/>
        </w:rPr>
        <w:t xml:space="preserve">([attest:*]) — Participation requires presenting a zero-knowledge proof of a qualifying credential. The blind validator network confirms the proof. Neither the community moderator nor the validator sees the underlying credential data. Access is proven, not revealed.</w:t>
      </w:r>
    </w:p>
    <w:p>
      <w:pPr>
        <w:spacing w:after="140"/>
      </w:pPr>
      <w:r>
        <w:rPr>
          <w:rFonts w:ascii="Arial" w:cs="Arial" w:eastAsia="Arial" w:hAnsi="Arial"/>
          <w:b/>
          <w:bCs/>
          <w:sz w:val="22"/>
          <w:szCs w:val="22"/>
        </w:rPr>
        <w:t xml:space="preserve">Sealed </w:t>
      </w:r>
      <w:r>
        <w:rPr>
          <w:rFonts w:ascii="Arial" w:cs="Arial" w:eastAsia="Arial" w:hAnsi="Arial"/>
          <w:sz w:val="22"/>
          <w:szCs w:val="22"/>
        </w:rPr>
        <w:t xml:space="preserve">([sealed] or [private]) — Invitation only. The community has a shared group key. Key distribution follows the Bonafide vault-to-vault transfer protocol. Participation metadata is visible only to members.</w:t>
      </w:r>
    </w:p>
    <w:p>
      <w:pPr>
        <w:pStyle w:val="Heading2"/>
      </w:pPr>
      <w:r>
        <w:rPr>
          <w:rFonts w:ascii="Arial" w:cs="Arial" w:eastAsia="Arial" w:hAnsi="Arial"/>
        </w:rPr>
        <w:t xml:space="preserve">9.3 Sector Namespacing</w:t>
      </w:r>
    </w:p>
    <w:p>
      <w:pPr>
        <w:spacing w:after="140"/>
      </w:pPr>
      <w:r>
        <w:rPr>
          <w:rFonts w:ascii="Arial" w:cs="Arial" w:eastAsia="Arial" w:hAnsi="Arial"/>
          <w:sz w:val="22"/>
          <w:szCs w:val="22"/>
        </w:rPr>
        <w:t xml:space="preserve">Colon-separated namespace paths provide hierarchical topic organization. The first path component is the sector. Sector-level default policies can be defined by the namespace owner. This enables industry-specific topic hierarchies (health, finance, government) with inherited default access policies.</w:t>
      </w:r>
    </w:p>
    <w:p>
      <w:r>
        <w:br w:type="page"/>
      </w:r>
    </w:p>
    <w:p>
      <w:pPr>
        <w:pStyle w:val="Heading1"/>
      </w:pPr>
      <w:r>
        <w:rPr>
          <w:rFonts w:ascii="Arial" w:cs="Arial" w:eastAsia="Arial" w:hAnsi="Arial"/>
        </w:rPr>
        <w:t xml:space="preserve">10. Agent Identities</w:t>
      </w:r>
    </w:p>
    <w:p>
      <w:pPr>
        <w:pStyle w:val="Heading2"/>
      </w:pPr>
      <w:r>
        <w:rPr>
          <w:rFonts w:ascii="Arial" w:cs="Arial" w:eastAsia="Arial" w:hAnsi="Arial"/>
        </w:rPr>
        <w:t xml:space="preserve">10.1 Structure</w:t>
      </w:r>
    </w:p>
    <w:p>
      <w:pPr>
        <w:spacing w:after="140"/>
      </w:pPr>
      <w:r>
        <w:rPr>
          <w:rFonts w:ascii="Arial" w:cs="Arial" w:eastAsia="Arial" w:hAnsi="Arial"/>
          <w:sz w:val="22"/>
          <w:szCs w:val="22"/>
        </w:rPr>
        <w:t xml:space="preserve">Agent identities use @ with the [bot] qualifier. The namespace path encodes the principal chain. Every agent is anchored to a human or institutional vault. There are no unanchored autonomous agents in the Bonafide model.</w:t>
      </w:r>
    </w:p>
    <w:p>
      <w:pPr>
        <w:pStyle w:val="Heading2"/>
      </w:pPr>
      <w:r>
        <w:rPr>
          <w:rFonts w:ascii="Arial" w:cs="Arial" w:eastAsia="Arial" w:hAnsi="Arial"/>
        </w:rPr>
        <w:t xml:space="preserve">10.2 Principal Accountability</w:t>
      </w:r>
    </w:p>
    <w:p>
      <w:pPr>
        <w:spacing w:after="140"/>
      </w:pPr>
      <w:r>
        <w:rPr>
          <w:rFonts w:ascii="Arial" w:cs="Arial" w:eastAsia="Arial" w:hAnsi="Arial"/>
          <w:sz w:val="22"/>
          <w:szCs w:val="22"/>
        </w:rPr>
        <w:t xml:space="preserve">The principal is the accountable party when the agent acts. The namespace path encodes the principal chain explicitly: @research-agent:alice.id[bot] identifies alice.id as the principal. Agent actions are attributed to and auditable through the principal’s vault.</w:t>
      </w:r>
    </w:p>
    <w:p>
      <w:pPr>
        <w:pStyle w:val="Heading2"/>
      </w:pPr>
      <w:r>
        <w:rPr>
          <w:rFonts w:ascii="Arial" w:cs="Arial" w:eastAsia="Arial" w:hAnsi="Arial"/>
        </w:rPr>
        <w:t xml:space="preserve">10.3 Agent Trust Score</w:t>
      </w:r>
    </w:p>
    <w:p>
      <w:pPr>
        <w:spacing w:after="140"/>
      </w:pPr>
      <w:r>
        <w:rPr>
          <w:rFonts w:ascii="Arial" w:cs="Arial" w:eastAsia="Arial" w:hAnsi="Arial"/>
          <w:sz w:val="22"/>
          <w:szCs w:val="22"/>
        </w:rPr>
        <w:t xml:space="preserve">An agent’s trust score ceiling is the principal’s trust score. An agent cannot exceed its principal’s trust standing. Agents develop their own behavioral reputation within that ceiling over time. If the principal’s score drops, the agent’s ceiling drops proportionally.</w:t>
      </w:r>
    </w:p>
    <w:p>
      <w:pPr>
        <w:pStyle w:val="Heading2"/>
      </w:pPr>
      <w:r>
        <w:rPr>
          <w:rFonts w:ascii="Arial" w:cs="Arial" w:eastAsia="Arial" w:hAnsi="Arial"/>
        </w:rPr>
        <w:t xml:space="preserve">10.4 Model Attestation</w:t>
      </w:r>
    </w:p>
    <w:p>
      <w:pPr>
        <w:spacing w:after="140"/>
      </w:pPr>
      <w:r>
        <w:rPr>
          <w:rFonts w:ascii="Arial" w:cs="Arial" w:eastAsia="Arial" w:hAnsi="Arial"/>
          <w:sz w:val="22"/>
          <w:szCs w:val="22"/>
        </w:rPr>
        <w:t xml:space="preserve">The [model:vendor:family:version] qualifier attests what AI model is running behind the agent identity. This is verifiable by third parties and updatable when the model changes. Community or institutional policies can require specific model attestations for agent participation.</w:t>
      </w:r>
    </w:p>
    <w:p>
      <w:pPr>
        <w:pStyle w:val="Heading2"/>
      </w:pPr>
      <w:r>
        <w:rPr>
          <w:rFonts w:ascii="Arial" w:cs="Arial" w:eastAsia="Arial" w:hAnsi="Arial"/>
        </w:rPr>
        <w:t xml:space="preserve">10.5 Scope of Agent Specification</w:t>
      </w:r>
    </w:p>
    <w:p>
      <w:pPr>
        <w:spacing w:after="140"/>
      </w:pPr>
      <w:r>
        <w:rPr>
          <w:rFonts w:ascii="Arial" w:cs="Arial" w:eastAsia="Arial" w:hAnsi="Arial"/>
          <w:sz w:val="22"/>
          <w:szCs w:val="22"/>
        </w:rPr>
        <w:t xml:space="preserve">This specification covers agent identity, addressing, and resolution only. Capability grants, delegation chains, execution permissions, and action audit trails are the responsibility of the consuming platform’s permission and execution layer, which uses Bonafide agent identities as input.</w:t>
      </w:r>
    </w:p>
    <w:p>
      <w:r>
        <w:br w:type="page"/>
      </w:r>
    </w:p>
    <w:p>
      <w:pPr>
        <w:pStyle w:val="Heading1"/>
      </w:pPr>
      <w:r>
        <w:rPr>
          <w:rFonts w:ascii="Arial" w:cs="Arial" w:eastAsia="Arial" w:hAnsi="Arial"/>
        </w:rPr>
        <w:t xml:space="preserve">11. Name Collision and Disambiguation</w:t>
      </w:r>
    </w:p>
    <w:p>
      <w:pPr>
        <w:pStyle w:val="Heading2"/>
      </w:pPr>
      <w:r>
        <w:rPr>
          <w:rFonts w:ascii="Arial" w:cs="Arial" w:eastAsia="Arial" w:hAnsi="Arial"/>
        </w:rPr>
        <w:t xml:space="preserve">11.1 Core Principle</w:t>
      </w:r>
    </w:p>
    <w:p>
      <w:pPr>
        <w:spacing w:after="140"/>
      </w:pPr>
      <w:r>
        <w:rPr>
          <w:rFonts w:ascii="Arial" w:cs="Arial" w:eastAsia="Arial" w:hAnsi="Arial"/>
          <w:sz w:val="22"/>
          <w:szCs w:val="22"/>
        </w:rPr>
        <w:t xml:space="preserve">Collision is a runtime concern, not a registration constraint. Two users with the same alias coexist peacefully until someone attempts to address one specifically. Disambiguation happens at the moment of addressing through an interactive resolution experience—not through forced name uniqueness at registration. No number suffixes. No ugly postfixes. The alias stays clean.</w:t>
      </w:r>
    </w:p>
    <w:p>
      <w:pPr>
        <w:pStyle w:val="Heading2"/>
      </w:pPr>
      <w:r>
        <w:rPr>
          <w:rFonts w:ascii="Arial" w:cs="Arial" w:eastAsia="Arial" w:hAnsi="Arial"/>
        </w:rPr>
        <w:t xml:space="preserve">11.2 Registration Policy</w:t>
      </w:r>
    </w:p>
    <w:p>
      <w:pPr>
        <w:spacing w:after="140"/>
      </w:pPr>
      <w:r>
        <w:rPr>
          <w:rFonts w:ascii="Arial" w:cs="Arial" w:eastAsia="Arial" w:hAnsi="Arial"/>
          <w:sz w:val="22"/>
          <w:szCs w:val="22"/>
        </w:rPr>
        <w:t xml:space="preserve">First-come, first-served on bare alias registration within a scope. No auctions, no global squatting protection at the name level—because the alias alone is never the complete address. @alice in one scope and @alice in another are two independent registrations. Neither owns the name globally.</w:t>
      </w:r>
    </w:p>
    <w:p>
      <w:pPr>
        <w:pStyle w:val="Heading2"/>
      </w:pPr>
      <w:r>
        <w:rPr>
          <w:rFonts w:ascii="Arial" w:cs="Arial" w:eastAsia="Arial" w:hAnsi="Arial"/>
        </w:rPr>
        <w:t xml:space="preserve">11.3 Disambiguation Picker</w:t>
      </w:r>
    </w:p>
    <w:p>
      <w:pPr>
        <w:spacing w:after="140"/>
      </w:pPr>
      <w:r>
        <w:rPr>
          <w:rFonts w:ascii="Arial" w:cs="Arial" w:eastAsia="Arial" w:hAnsi="Arial"/>
          <w:sz w:val="22"/>
          <w:szCs w:val="22"/>
        </w:rPr>
        <w:t xml:space="preserve">When a user types an ambiguous alias in a scope where multiple identities share that alias, the system surfaces a disambiguation picker showing all matching identities with their distinguishing qualifiers and context. The user selects once. The system stores the selection as a private personal alias in the user’s vault. Subsequent mentions resolve silently without showing the picker again.</w:t>
      </w:r>
    </w:p>
    <w:p>
      <w:pPr>
        <w:pStyle w:val="Heading2"/>
      </w:pPr>
      <w:r>
        <w:rPr>
          <w:rFonts w:ascii="Arial" w:cs="Arial" w:eastAsia="Arial" w:hAnsi="Arial"/>
        </w:rPr>
        <w:t xml:space="preserve">11.4 Picker Ranking</w:t>
      </w:r>
    </w:p>
    <w:p>
      <w:pPr>
        <w:spacing w:after="140"/>
      </w:pPr>
      <w:r>
        <w:rPr>
          <w:rFonts w:ascii="Arial" w:cs="Arial" w:eastAsia="Arial" w:hAnsi="Arial"/>
          <w:sz w:val="22"/>
          <w:szCs w:val="22"/>
        </w:rPr>
        <w:t xml:space="preserve">Results are ranked by: personal vault resolution (previously addressed this identity), subscription/follow relationship, scope-local reputation, explicit community signals (upvotes, nominations), and vault age and activity. The most prominent identity in a scope surfaces first because statistically that is the correct choice most of the time.</w:t>
      </w:r>
    </w:p>
    <w:p>
      <w:pPr>
        <w:pStyle w:val="Heading2"/>
      </w:pPr>
      <w:r>
        <w:rPr>
          <w:rFonts w:ascii="Arial" w:cs="Arial" w:eastAsia="Arial" w:hAnsi="Arial"/>
        </w:rPr>
        <w:t xml:space="preserve">11.5 Content Anchor Resolution</w:t>
      </w:r>
    </w:p>
    <w:p>
      <w:pPr>
        <w:spacing w:after="140"/>
      </w:pPr>
      <w:r>
        <w:rPr>
          <w:rFonts w:ascii="Arial" w:cs="Arial" w:eastAsia="Arial" w:hAnsi="Arial"/>
          <w:sz w:val="22"/>
          <w:szCs w:val="22"/>
        </w:rPr>
        <w:t xml:space="preserve">When a creator publishes content mentioning an alias, they resolve the reference once during content creation. The resolved vault branch hash is stored in the content metadata. Every subsequent reader has the identity pre-resolved. The creator’s resolution decision propagates to all consumers of that content without requiring each reader to disambiguate. This is the primary resolution path at scale.</w:t>
      </w:r>
    </w:p>
    <w:p>
      <w:pPr>
        <w:pStyle w:val="Heading2"/>
      </w:pPr>
      <w:r>
        <w:rPr>
          <w:rFonts w:ascii="Arial" w:cs="Arial" w:eastAsia="Arial" w:hAnsi="Arial"/>
        </w:rPr>
        <w:t xml:space="preserve">11.6 Anti-Squatting Measures</w:t>
      </w:r>
    </w:p>
    <w:p>
      <w:pPr>
        <w:spacing w:after="140"/>
      </w:pPr>
      <w:r>
        <w:rPr>
          <w:rFonts w:ascii="Arial" w:cs="Arial" w:eastAsia="Arial" w:hAnsi="Arial"/>
          <w:sz w:val="22"/>
          <w:szCs w:val="22"/>
        </w:rPr>
        <w:t xml:space="preserve">Alias registration requires liveness verification (Section 7.3). Thin accounts with no history rank last in all disambiguation contexts. A squatter who registers an alias across every scope with zero engagement history will never surface above an identity with genuine community presence.</w:t>
      </w:r>
    </w:p>
    <w:p>
      <w:r>
        <w:br w:type="page"/>
      </w:r>
    </w:p>
    <w:p>
      <w:pPr>
        <w:pStyle w:val="Heading1"/>
      </w:pPr>
      <w:r>
        <w:rPr>
          <w:rFonts w:ascii="Arial" w:cs="Arial" w:eastAsia="Arial" w:hAnsi="Arial"/>
        </w:rPr>
        <w:t xml:space="preserve">12. Identity Trust Scores</w:t>
      </w:r>
    </w:p>
    <w:p>
      <w:pPr>
        <w:pStyle w:val="Heading2"/>
      </w:pPr>
      <w:r>
        <w:rPr>
          <w:rFonts w:ascii="Arial" w:cs="Arial" w:eastAsia="Arial" w:hAnsi="Arial"/>
        </w:rPr>
        <w:t xml:space="preserve">12.1 Purpose</w:t>
      </w:r>
    </w:p>
    <w:p>
      <w:pPr>
        <w:spacing w:after="140"/>
      </w:pPr>
      <w:r>
        <w:rPr>
          <w:rFonts w:ascii="Arial" w:cs="Arial" w:eastAsia="Arial" w:hAnsi="Arial"/>
          <w:sz w:val="22"/>
          <w:szCs w:val="22"/>
        </w:rPr>
        <w:t xml:space="preserve">Trust scores express the reliability and legitimacy of a vault identity as evaluated over its behavioral history. They are used by institutions and community policies to set participation floors. They are not a social score or a reputation metric visible to other users in normal contexts. This extends the validator trust scoring from Part 5, Section 4 to the identity layer.</w:t>
      </w:r>
    </w:p>
    <w:p>
      <w:pPr>
        <w:pStyle w:val="Heading2"/>
      </w:pPr>
      <w:r>
        <w:rPr>
          <w:rFonts w:ascii="Arial" w:cs="Arial" w:eastAsia="Arial" w:hAnsi="Arial"/>
        </w:rPr>
        <w:t xml:space="preserve">12.2 Score Architecture</w:t>
      </w:r>
    </w:p>
    <w:p>
      <w:pPr>
        <w:spacing w:after="140"/>
      </w:pPr>
      <w:r>
        <w:rPr>
          <w:rFonts w:ascii="Arial" w:cs="Arial" w:eastAsia="Arial" w:hAnsi="Arial"/>
          <w:sz w:val="22"/>
          <w:szCs w:val="22"/>
        </w:rPr>
        <w:t xml:space="preserve">The trust score is not a stored mutable value. It is a function computed at query time from: alias creation timestamps and velocity, institutional attestations received, community signals and scope reputation, dispute flags and their timestamps, and vault age. Cannot be purchased or cleared. Time does the healing automatically.</w:t>
      </w:r>
    </w:p>
    <w:p>
      <w:pPr>
        <w:pStyle w:val="Heading2"/>
      </w:pPr>
      <w:r>
        <w:rPr>
          <w:rFonts w:ascii="Arial" w:cs="Arial" w:eastAsia="Arial" w:hAnsi="Arial"/>
        </w:rPr>
        <w:t xml:space="preserve">12.3 Degradation Threshold</w:t>
      </w:r>
    </w:p>
    <w:p>
      <w:pPr>
        <w:spacing w:after="140"/>
      </w:pPr>
      <w:r>
        <w:rPr>
          <w:rFonts w:ascii="Arial" w:cs="Arial" w:eastAsia="Arial" w:hAnsi="Arial"/>
          <w:sz w:val="22"/>
          <w:szCs w:val="22"/>
        </w:rPr>
        <w:t xml:space="preserve">Trust score degradation applies only at patterns statistically incompatible with a single human life. Normal human multi-alias usage over years carries no penalty. The trigger is velocity and volume together: dozens of aliases created within hours or days triggers degradation; hundreds created programmatically triggers severe degradation. A few aliases, even a dozen over years, carries zero penalty.</w:t>
      </w:r>
    </w:p>
    <w:p>
      <w:pPr>
        <w:pStyle w:val="Heading2"/>
      </w:pPr>
      <w:r>
        <w:rPr>
          <w:rFonts w:ascii="Arial" w:cs="Arial" w:eastAsia="Arial" w:hAnsi="Arial"/>
        </w:rPr>
        <w:t xml:space="preserve">12.4 Self-Healing Over Time</w:t>
      </w:r>
    </w:p>
    <w:p>
      <w:pPr>
        <w:spacing w:after="140"/>
      </w:pPr>
      <w:r>
        <w:rPr>
          <w:rFonts w:ascii="Arial" w:cs="Arial" w:eastAsia="Arial" w:hAnsi="Arial"/>
          <w:sz w:val="22"/>
          <w:szCs w:val="22"/>
        </w:rPr>
        <w:t xml:space="preserve">Trust scores are time-weighted functions evaluated at query time over the vault’s full timestamped history. Old negative events lose weight over time. The healing is intrinsic to the calculation—not a scheduled reset job. Over a hundred-year human life, four to five complete identity reinventions (new aliases, retired contexts, new scopes) are expected and carry no penalty. The temporal distribution tells the story.</w:t>
      </w:r>
    </w:p>
    <w:p>
      <w:pPr>
        <w:pStyle w:val="Heading2"/>
      </w:pPr>
      <w:r>
        <w:rPr>
          <w:rFonts w:ascii="Arial" w:cs="Arial" w:eastAsia="Arial" w:hAnsi="Arial"/>
        </w:rPr>
        <w:t xml:space="preserve">12.5 Synthetic Trust Scores</w:t>
      </w:r>
    </w:p>
    <w:p>
      <w:pPr>
        <w:spacing w:after="140"/>
      </w:pPr>
      <w:r>
        <w:rPr>
          <w:rFonts w:ascii="Arial" w:cs="Arial" w:eastAsia="Arial" w:hAnsi="Arial"/>
          <w:sz w:val="22"/>
          <w:szCs w:val="22"/>
        </w:rPr>
        <w:t xml:space="preserve">For high-sensitivity alias contexts—journalist source identities, activist pseudonyms, protected personas—a vault may present a synthetic trust score attested by a blind validator: “this alias meets threshold X” without revealing the underlying score, alias count, or vault history. This protects the existence of the sensitive alias while satisfying institutional trust floor requirements.</w:t>
      </w:r>
    </w:p>
    <w:p>
      <w:r>
        <w:br w:type="page"/>
      </w:r>
    </w:p>
    <w:p>
      <w:pPr>
        <w:pStyle w:val="Heading1"/>
      </w:pPr>
      <w:r>
        <w:rPr>
          <w:rFonts w:ascii="Arial" w:cs="Arial" w:eastAsia="Arial" w:hAnsi="Arial"/>
        </w:rPr>
        <w:t xml:space="preserve">13. Identity Lifecycle</w:t>
      </w:r>
    </w:p>
    <w:p>
      <w:pPr>
        <w:pStyle w:val="Heading2"/>
      </w:pPr>
      <w:r>
        <w:rPr>
          <w:rFonts w:ascii="Arial" w:cs="Arial" w:eastAsia="Arial" w:hAnsi="Arial"/>
        </w:rPr>
        <w:t xml:space="preserve">13.1 Alias Creation</w:t>
      </w:r>
    </w:p>
    <w:p>
      <w:pPr>
        <w:pStyle w:val="ListParagraph"/>
        <w:numPr>
          <w:ilvl w:val="0"/>
          <w:numId w:val="2"/>
        </w:numPr>
        <w:spacing w:after="60"/>
      </w:pPr>
      <w:r>
        <w:rPr>
          <w:rFonts w:ascii="Arial" w:cs="Arial" w:eastAsia="Arial" w:hAnsi="Arial"/>
          <w:sz w:val="22"/>
          <w:szCs w:val="22"/>
        </w:rPr>
        <w:t xml:space="preserve">Requires a liveness-verified vault (Section 7.3).</w:t>
      </w:r>
    </w:p>
    <w:p>
      <w:pPr>
        <w:pStyle w:val="ListParagraph"/>
        <w:numPr>
          <w:ilvl w:val="0"/>
          <w:numId w:val="2"/>
        </w:numPr>
        <w:spacing w:after="60"/>
      </w:pPr>
      <w:r>
        <w:rPr>
          <w:rFonts w:ascii="Arial" w:cs="Arial" w:eastAsia="Arial" w:hAnsi="Arial"/>
          <w:sz w:val="22"/>
          <w:szCs w:val="22"/>
        </w:rPr>
        <w:t xml:space="preserve">Signed request from an existing vault branch key.</w:t>
      </w:r>
    </w:p>
    <w:p>
      <w:pPr>
        <w:pStyle w:val="ListParagraph"/>
        <w:numPr>
          <w:ilvl w:val="0"/>
          <w:numId w:val="2"/>
        </w:numPr>
        <w:spacing w:after="60"/>
      </w:pPr>
      <w:r>
        <w:rPr>
          <w:rFonts w:ascii="Arial" w:cs="Arial" w:eastAsia="Arial" w:hAnsi="Arial"/>
          <w:sz w:val="22"/>
          <w:szCs w:val="22"/>
        </w:rPr>
        <w:t xml:space="preserve">Published to the Bonafide distributed registry as a hash commitment.</w:t>
      </w:r>
    </w:p>
    <w:p>
      <w:pPr>
        <w:pStyle w:val="ListParagraph"/>
        <w:numPr>
          <w:ilvl w:val="0"/>
          <w:numId w:val="2"/>
        </w:numPr>
        <w:spacing w:after="60"/>
      </w:pPr>
      <w:r>
        <w:rPr>
          <w:rFonts w:ascii="Arial" w:cs="Arial" w:eastAsia="Arial" w:hAnsi="Arial"/>
          <w:sz w:val="22"/>
          <w:szCs w:val="22"/>
        </w:rPr>
        <w:t xml:space="preserve">Optionally scoped to a specific institution, platform, or community.</w:t>
      </w:r>
    </w:p>
    <w:p>
      <w:pPr>
        <w:pStyle w:val="Heading2"/>
      </w:pPr>
      <w:r>
        <w:rPr>
          <w:rFonts w:ascii="Arial" w:cs="Arial" w:eastAsia="Arial" w:hAnsi="Arial"/>
        </w:rPr>
        <w:t xml:space="preserve">13.2 Alias Retirement</w:t>
      </w:r>
    </w:p>
    <w:p>
      <w:pPr>
        <w:spacing w:after="140"/>
      </w:pPr>
      <w:r>
        <w:rPr>
          <w:rFonts w:ascii="Arial" w:cs="Arial" w:eastAsia="Arial" w:hAnsi="Arial"/>
          <w:sz w:val="22"/>
          <w:szCs w:val="22"/>
        </w:rPr>
        <w:t xml:space="preserve">An alias can be retired by its owner at any time. Retirement publishes a signed forwarding notice: “this alias has moved to [new alias], vault proof: [signature].” Bonafide-compliant clients resolving the old alias receive the forwarding notice and update their resolution automatically.</w:t>
      </w:r>
    </w:p>
    <w:p>
      <w:pPr>
        <w:pStyle w:val="Heading2"/>
      </w:pPr>
      <w:r>
        <w:rPr>
          <w:rFonts w:ascii="Arial" w:cs="Arial" w:eastAsia="Arial" w:hAnsi="Arial"/>
        </w:rPr>
        <w:t xml:space="preserve">13.3 Branch-Level Consolidation</w:t>
      </w:r>
    </w:p>
    <w:p>
      <w:pPr>
        <w:spacing w:after="140"/>
      </w:pPr>
      <w:r>
        <w:rPr>
          <w:rFonts w:ascii="Arial" w:cs="Arial" w:eastAsia="Arial" w:hAnsi="Arial"/>
          <w:sz w:val="22"/>
          <w:szCs w:val="22"/>
        </w:rPr>
        <w:t xml:space="preserve">When a user has created multiple vault branches across institutions independently and wishes to unify them: each institution confirms via secure element that both branches derive from the same root, branches merge under a primary, trust score is recalculated over the combined timestamped history (usually improves). Consolidation is self-limiting by design—there is no attack surface in combining your own scattered history.</w:t>
      </w:r>
    </w:p>
    <w:p>
      <w:pPr>
        <w:pStyle w:val="Heading2"/>
      </w:pPr>
      <w:r>
        <w:rPr>
          <w:rFonts w:ascii="Arial" w:cs="Arial" w:eastAsia="Arial" w:hAnsi="Arial"/>
        </w:rPr>
        <w:t xml:space="preserve">13.4 Full Vault Consolidation</w:t>
      </w:r>
    </w:p>
    <w:p>
      <w:pPr>
        <w:spacing w:after="140"/>
      </w:pPr>
      <w:r>
        <w:rPr>
          <w:rFonts w:ascii="Arial" w:cs="Arial" w:eastAsia="Arial" w:hAnsi="Arial"/>
          <w:sz w:val="22"/>
          <w:szCs w:val="22"/>
        </w:rPr>
        <w:t xml:space="preserve">Multiple independent root vaults (created after device loss or separate enrollment) can be merged through a formal ceremony:</w:t>
      </w:r>
    </w:p>
    <w:p>
      <w:pPr>
        <w:pStyle w:val="ListParagraph"/>
        <w:numPr>
          <w:ilvl w:val="0"/>
          <w:numId w:val="2"/>
        </w:numPr>
        <w:spacing w:after="60"/>
      </w:pPr>
      <w:r>
        <w:rPr>
          <w:rFonts w:ascii="Arial" w:cs="Arial" w:eastAsia="Arial" w:hAnsi="Arial"/>
          <w:sz w:val="22"/>
          <w:szCs w:val="22"/>
        </w:rPr>
        <w:t xml:space="preserve">Biometric re-attestation at the secure element level.</w:t>
      </w:r>
    </w:p>
    <w:p>
      <w:pPr>
        <w:pStyle w:val="ListParagraph"/>
        <w:numPr>
          <w:ilvl w:val="0"/>
          <w:numId w:val="2"/>
        </w:numPr>
        <w:spacing w:after="60"/>
      </w:pPr>
      <w:r>
        <w:rPr>
          <w:rFonts w:ascii="Arial" w:cs="Arial" w:eastAsia="Arial" w:hAnsi="Arial"/>
          <w:sz w:val="22"/>
          <w:szCs w:val="22"/>
        </w:rPr>
        <w:t xml:space="preserve">Multi-institutional witness confirmation.</w:t>
      </w:r>
    </w:p>
    <w:p>
      <w:pPr>
        <w:pStyle w:val="ListParagraph"/>
        <w:numPr>
          <w:ilvl w:val="0"/>
          <w:numId w:val="2"/>
        </w:numPr>
        <w:spacing w:after="60"/>
      </w:pPr>
      <w:r>
        <w:rPr>
          <w:rFonts w:ascii="Arial" w:cs="Arial" w:eastAsia="Arial" w:hAnsi="Arial"/>
          <w:sz w:val="22"/>
          <w:szCs w:val="22"/>
        </w:rPr>
        <w:t xml:space="preserve">Dispute window (minimum 72 hours) for challenge.</w:t>
      </w:r>
    </w:p>
    <w:p>
      <w:pPr>
        <w:pStyle w:val="ListParagraph"/>
        <w:numPr>
          <w:ilvl w:val="0"/>
          <w:numId w:val="2"/>
        </w:numPr>
        <w:spacing w:after="60"/>
      </w:pPr>
      <w:r>
        <w:rPr>
          <w:rFonts w:ascii="Arial" w:cs="Arial" w:eastAsia="Arial" w:hAnsi="Arial"/>
          <w:sz w:val="22"/>
          <w:szCs w:val="22"/>
        </w:rPr>
        <w:t xml:space="preserve">Permanent merge with full history preservation.</w:t>
      </w:r>
    </w:p>
    <w:p>
      <w:pPr>
        <w:spacing w:after="140"/>
      </w:pPr>
      <w:r>
        <w:rPr>
          <w:rFonts w:ascii="Arial" w:cs="Arial" w:eastAsia="Arial" w:hAnsi="Arial"/>
          <w:sz w:val="22"/>
          <w:szCs w:val="22"/>
        </w:rPr>
        <w:t xml:space="preserve">The dispute window exists because a bad actor could attempt to absorb another person’s reputation. Biometric re-attestation at the secure element level closes the primary attack vector.</w:t>
      </w:r>
    </w:p>
    <w:p>
      <w:pPr>
        <w:pStyle w:val="Heading2"/>
      </w:pPr>
      <w:r>
        <w:rPr>
          <w:rFonts w:ascii="Arial" w:cs="Arial" w:eastAsia="Arial" w:hAnsi="Arial"/>
        </w:rPr>
        <w:t xml:space="preserve">13.5 Vault Inheritance</w:t>
      </w:r>
    </w:p>
    <w:p>
      <w:pPr>
        <w:spacing w:after="140"/>
      </w:pPr>
      <w:r>
        <w:rPr>
          <w:rFonts w:ascii="Arial" w:cs="Arial" w:eastAsia="Arial" w:hAnsi="Arial"/>
          <w:sz w:val="22"/>
          <w:szCs w:val="22"/>
        </w:rPr>
        <w:t xml:space="preserve">On vault owner death, the vault passes to a designated heir or executor per the vault’s inheritance policy. All alias registrations and agent delegations tied to the vault either expire at their next natural reauthorization cycle or are explicitly revoked by the heir as part of vault administration.</w:t>
      </w:r>
    </w:p>
    <w:p>
      <w:r>
        <w:br w:type="page"/>
      </w:r>
    </w:p>
    <w:p>
      <w:pPr>
        <w:pStyle w:val="Heading1"/>
      </w:pPr>
      <w:r>
        <w:rPr>
          <w:rFonts w:ascii="Arial" w:cs="Arial" w:eastAsia="Arial" w:hAnsi="Arial"/>
        </w:rPr>
        <w:t xml:space="preserve">14. Routing and Delivery</w:t>
      </w:r>
    </w:p>
    <w:p>
      <w:pPr>
        <w:pStyle w:val="Heading2"/>
      </w:pPr>
      <w:r>
        <w:rPr>
          <w:rFonts w:ascii="Arial" w:cs="Arial" w:eastAsia="Arial" w:hAnsi="Arial"/>
        </w:rPr>
        <w:t xml:space="preserve">14.1 Validator Network Resolution</w:t>
      </w:r>
    </w:p>
    <w:p>
      <w:pPr>
        <w:spacing w:after="140"/>
      </w:pPr>
      <w:r>
        <w:rPr>
          <w:rFonts w:ascii="Arial" w:cs="Arial" w:eastAsia="Arial" w:hAnsi="Arial"/>
          <w:sz w:val="22"/>
          <w:szCs w:val="22"/>
        </w:rPr>
        <w:t xml:space="preserve">The Bonafide validator network holds routing commitments—signed records that map vault branch IDs to delivery endpoints—and verifies those commitments by majority consensus before forwarding. No single validator knows the complete routing picture. A majority threshold must agree a routing commitment is valid before anything is delivered. No validator stores cleartext PII. This extends the federated relay architecture from Part 8, Section 3 with formal addressing and channel routing.</w:t>
      </w:r>
    </w:p>
    <w:p>
      <w:pPr>
        <w:pStyle w:val="Heading2"/>
      </w:pPr>
      <w:r>
        <w:rPr>
          <w:rFonts w:ascii="Arial" w:cs="Arial" w:eastAsia="Arial" w:hAnsi="Arial"/>
        </w:rPr>
        <w:t xml:space="preserve">14.2 Routing Channels</w:t>
      </w:r>
    </w:p>
    <w:p>
      <w:pPr>
        <w:spacing w:after="140"/>
      </w:pPr>
      <w:r>
        <w:rPr>
          <w:rFonts w:ascii="Arial" w:cs="Arial" w:eastAsia="Arial" w:hAnsi="Arial"/>
          <w:sz w:val="22"/>
          <w:szCs w:val="22"/>
        </w:rPr>
        <w:t xml:space="preserve">The same Bonafide address can route to multiple delivery channels depending on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Channel</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Qualifier</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In-app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(default)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Delivered to vault inbox on the originating platform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Routed to vault-designated email via relay (Part 8)</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[route:sms]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Routed to vault-designated phone via relay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[route:voice]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Routed to vault-designated number via relay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[route:post]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Routed to Bonafide physical forwarding node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Vault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[route:vault]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 vault-to-vault, no external carrier</w:t>
            </w:r>
          </w:p>
        </w:tc>
      </w:tr>
    </w:tbl>
    <w:p>
      <w:pPr>
        <w:spacing w:after="100"/>
      </w:pPr>
    </w:p>
    <w:p>
      <w:pPr>
        <w:spacing w:after="140"/>
      </w:pPr>
      <w:r>
        <w:rPr>
          <w:rFonts w:ascii="Arial" w:cs="Arial" w:eastAsia="Arial" w:hAnsi="Arial"/>
          <w:sz w:val="22"/>
          <w:szCs w:val="22"/>
        </w:rPr>
        <w:t xml:space="preserve">The sender specifies the required channel. The validator network resolves the current endpoint. The sender never learns the real endpoint—only whether delivery succeeded.</w:t>
      </w:r>
    </w:p>
    <w:p>
      <w:pPr>
        <w:pStyle w:val="Heading2"/>
      </w:pPr>
      <w:r>
        <w:rPr>
          <w:rFonts w:ascii="Arial" w:cs="Arial" w:eastAsia="Arial" w:hAnsi="Arial"/>
        </w:rPr>
        <w:t xml:space="preserve">14.3 Real Endpoint Privacy</w:t>
      </w:r>
    </w:p>
    <w:p>
      <w:pPr>
        <w:spacing w:after="140"/>
      </w:pPr>
      <w:r>
        <w:rPr>
          <w:rFonts w:ascii="Arial" w:cs="Arial" w:eastAsia="Arial" w:hAnsi="Arial"/>
          <w:sz w:val="22"/>
          <w:szCs w:val="22"/>
        </w:rPr>
        <w:t xml:space="preserve">Institutions never hold a user’s real email address, phone number, or physical address. They hold a vault-issued contact token. When the user closes the relationship, the token is revoked and delivery stops—without the user changing any real address. This formalizes the proxy identity model from Part 4, Section 2.</w:t>
      </w:r>
    </w:p>
    <w:p>
      <w:pPr>
        <w:pStyle w:val="Heading2"/>
      </w:pPr>
      <w:r>
        <w:rPr>
          <w:rFonts w:ascii="Arial" w:cs="Arial" w:eastAsia="Arial" w:hAnsi="Arial"/>
        </w:rPr>
        <w:t xml:space="preserve">14.4 Physical Mail Routing</w:t>
      </w:r>
    </w:p>
    <w:p>
      <w:pPr>
        <w:spacing w:after="140"/>
      </w:pPr>
      <w:r>
        <w:rPr>
          <w:rFonts w:ascii="Arial" w:cs="Arial" w:eastAsia="Arial" w:hAnsi="Arial"/>
          <w:sz w:val="22"/>
          <w:szCs w:val="22"/>
        </w:rPr>
        <w:t xml:space="preserve">Bonafide forwarding partners operate physical addresses. Mail addressed to a Bonafide postal route is received, scanned, and sender metadata submitted to the validator network for authorization check. Authorized mail is forwarded. Unauthorized mail is held or returned per vault policy. The real address never appears in the delivery chain.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999999"/>
        <w:sz w:val="16"/>
        <w:szCs w:val="16"/>
      </w:rPr>
      <w:t xml:space="preserve">Sly Technologies Inc. — bonafide.id	V1.0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999999"/>
        <w:sz w:val="16"/>
        <w:szCs w:val="16"/>
      </w:rPr>
      <w:t xml:space="preserve">BONAFIDE™ SPECIFICATION V1.0 — PART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F4E79"/>
      <w:sz w:val="34"/>
      <w:szCs w:val="34"/>
    </w:rPr>
  </w:style>
  <w:style w:type="paragraph" w:styleId="Heading2">
    <w:name w:val="Heading 2"/>
    <w:basedOn w:val="Normal"/>
    <w:next w:val="Normal"/>
    <w:qFormat/>
    <w:pPr>
      <w:spacing w:before="22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2026-03-30T21:32:37.925Z</dcterms:created>
  <dcterms:modified xsi:type="dcterms:W3CDTF">2026-03-30T21:32:37.926Z</dcterms:modified>
</cp:coreProperties>
</file>

<file path=docProps/custom.xml><?xml version="1.0" encoding="utf-8"?>
<Properties xmlns="http://schemas.openxmlformats.org/officeDocument/2006/custom-properties" xmlns:vt="http://schemas.openxmlformats.org/officeDocument/2006/docPropsVTypes"/>
</file>