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B2A4A"/>
          <w:sz w:val="28"/>
          <w:szCs w:val="28"/>
        </w:rPr>
        <w:t xml:space="preserve">BONAFIDE™ SPECIFICATION V1.0 — PART 14</w:t>
      </w:r>
    </w:p>
    <w:p>
      <w:pPr>
        <w:spacing w:after="40"/>
        <w:jc w:val="left"/>
      </w:pPr>
      <w:r>
        <w:rPr>
          <w:rFonts w:ascii="Arial" w:cs="Arial" w:eastAsia="Arial" w:hAnsi="Arial"/>
          <w:b/>
          <w:bCs/>
          <w:color w:val="1B2A4A"/>
          <w:sz w:val="36"/>
          <w:szCs w:val="36"/>
        </w:rPr>
        <w:t xml:space="preserve">Institutional Branches, Leases &amp; Policy</w:t>
      </w:r>
    </w:p>
    <w:p>
      <w:pPr>
        <w:spacing w:after="300"/>
        <w:jc w:val="left"/>
      </w:pPr>
      <w:r>
        <w:rPr>
          <w:rFonts w:ascii="Arial" w:cs="Arial" w:eastAsia="Arial" w:hAnsi="Arial"/>
          <w:i/>
          <w:iCs/>
          <w:color w:val="666666"/>
          <w:sz w:val="22"/>
          <w:szCs w:val="22"/>
        </w:rPr>
        <w:t xml:space="preserve">Lease-based institutional access, machine-executable branch policy, institutional transfer protocol, policy immutability, and user-consented retention</w:t>
      </w:r>
    </w:p>
    <w:p>
      <w:pPr>
        <w:pStyle w:val="Heading1"/>
        <w:spacing w:before="400" w:after="200"/>
      </w:pPr>
      <w:r>
        <w:rPr>
          <w:rFonts w:ascii="Arial" w:cs="Arial" w:eastAsia="Arial" w:hAnsi="Arial"/>
          <w:b/>
          <w:bCs/>
          <w:color w:val="1B2A4A"/>
          <w:sz w:val="32"/>
          <w:szCs w:val="32"/>
        </w:rPr>
        <w:t xml:space="preserve">1. Purpose</w:t>
      </w:r>
    </w:p>
    <w:p>
      <w:pPr>
        <w:spacing w:after="160"/>
      </w:pPr>
      <w:r>
        <w:rPr>
          <w:rFonts w:ascii="Arial" w:cs="Arial" w:eastAsia="Arial" w:hAnsi="Arial"/>
          <w:color w:val="333333"/>
          <w:sz w:val="22"/>
          <w:szCs w:val="22"/>
        </w:rPr>
        <w:t xml:space="preserve">This part defines the protocol for institutional branch lifecycle management: how institutions gain access to user vault data, what governs that access, how access changes over time, and what happens when a relationship ends or transfers to another institution.</w:t>
      </w:r>
    </w:p>
    <w:p>
      <w:pPr>
        <w:spacing w:after="160"/>
      </w:pPr>
      <w:r>
        <w:rPr>
          <w:rFonts w:ascii="Arial" w:cs="Arial" w:eastAsia="Arial" w:hAnsi="Arial"/>
          <w:color w:val="333333"/>
          <w:sz w:val="22"/>
          <w:szCs w:val="22"/>
        </w:rPr>
        <w:t xml:space="preserve">The specification adds five protocol-level mechanisms: lease-based institutional access (replacing persistent keys), machine-executable branch policy (the governing contract for each branch), a transfer protocol for institutional changes, policy immutability (protecting users from unilateral term changes), and user-consented retention (ensuring the protocol never overrides the user's original consent).</w:t>
      </w:r>
    </w:p>
    <w:p>
      <w:pPr>
        <w:spacing w:after="160"/>
      </w:pPr>
      <w:r>
        <w:rPr>
          <w:rFonts w:ascii="Arial" w:cs="Arial" w:eastAsia="Arial" w:hAnsi="Arial"/>
          <w:color w:val="333333"/>
          <w:sz w:val="22"/>
          <w:szCs w:val="22"/>
        </w:rPr>
        <w:t xml:space="preserve">This part does not define business logic, data taxonomies, or regulatory frameworks. It defines the protocol primitives that enable institutions and users to negotiate, enforce, and audit their data relationships.</w:t>
      </w:r>
    </w:p>
    <w:p>
      <w:pPr>
        <w:pStyle w:val="Heading1"/>
        <w:spacing w:before="400" w:after="200"/>
      </w:pPr>
      <w:r>
        <w:rPr>
          <w:rFonts w:ascii="Arial" w:cs="Arial" w:eastAsia="Arial" w:hAnsi="Arial"/>
          <w:b/>
          <w:bCs/>
          <w:color w:val="1B2A4A"/>
          <w:sz w:val="32"/>
          <w:szCs w:val="32"/>
        </w:rPr>
        <w:t xml:space="preserve">2. Lease-Based Institutional Access</w:t>
      </w:r>
    </w:p>
    <w:p>
      <w:pPr>
        <w:pStyle w:val="Heading2"/>
        <w:spacing w:before="300" w:after="180"/>
      </w:pPr>
      <w:r>
        <w:rPr>
          <w:rFonts w:ascii="Arial" w:cs="Arial" w:eastAsia="Arial" w:hAnsi="Arial"/>
          <w:b/>
          <w:bCs/>
          <w:color w:val="1B2A4A"/>
          <w:sz w:val="28"/>
          <w:szCs w:val="28"/>
        </w:rPr>
        <w:t xml:space="preserve">2.1 Principle</w:t>
      </w:r>
    </w:p>
    <w:p>
      <w:pPr>
        <w:spacing w:after="160"/>
      </w:pPr>
      <w:r>
        <w:rPr>
          <w:rFonts w:ascii="Arial" w:cs="Arial" w:eastAsia="Arial" w:hAnsi="Arial"/>
          <w:color w:val="333333"/>
          <w:sz w:val="22"/>
          <w:szCs w:val="22"/>
        </w:rPr>
        <w:t xml:space="preserve">Institutions do not hold persistent decryption keys. Instead, institutions hold leases: time-bounded, auto-renewable decryption credentials that authorize access to specific vault quanta within a branch. A lease grants the institution the ability to decrypt data for a finite period. The lease renews automatically unless revoked by the user.</w:t>
      </w:r>
    </w:p>
    <w:p>
      <w:pPr>
        <w:spacing w:after="160"/>
      </w:pPr>
      <w:r>
        <w:rPr>
          <w:rFonts w:ascii="Arial" w:cs="Arial" w:eastAsia="Arial" w:hAnsi="Arial"/>
          <w:color w:val="333333"/>
          <w:sz w:val="22"/>
          <w:szCs w:val="22"/>
        </w:rPr>
        <w:t xml:space="preserve">This inverts the current model where institutions receive permanent keys during peering. Leases ensure that institutional access is always finite, always auditable, and always revocable—while protecting institutions from operational disruption through automatic renewal.</w:t>
      </w:r>
    </w:p>
    <w:p>
      <w:pPr>
        <w:pStyle w:val="Heading2"/>
        <w:spacing w:before="300" w:after="180"/>
      </w:pPr>
      <w:r>
        <w:rPr>
          <w:rFonts w:ascii="Arial" w:cs="Arial" w:eastAsia="Arial" w:hAnsi="Arial"/>
          <w:b/>
          <w:bCs/>
          <w:color w:val="1B2A4A"/>
          <w:sz w:val="28"/>
          <w:szCs w:val="28"/>
        </w:rPr>
        <w:t xml:space="preserve">2.2 Lease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Property</w:t>
            </w:r>
          </w:p>
        </w:tc>
        <w:tc>
          <w:tcPr>
            <w:tcW w:type="dxa" w:w="71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Term</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Duration of the lease in days. Default: 30 days. Configurable per branch policy. Minimum: 1 day. Maximum: 365 days.</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Auto-renewal</w:t>
            </w:r>
          </w:p>
        </w:tc>
        <w:tc>
          <w:tcPr>
            <w:tcW w:type="dxa" w:w="71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Lease renews automatically at expiration unless explicitly revoked. Protects institutions from access loss if the user is inactive or unreachable.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Scope</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The set of quanta the lease authorizes access to, defined by branch, channel, and security level. A lease cannot exceed the branch policy's declared scope.</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Revocability</w:t>
            </w:r>
          </w:p>
        </w:tc>
        <w:tc>
          <w:tcPr>
            <w:tcW w:type="dxa" w:w="71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The user can revoke a lease at any time. Revocation follows the branch policy's declared retention and grace period terms.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Cryptographic binding</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The lease is bound to the institution's certificate, the branch identifier, and the lease term. A different institution, branch, or term produces a different lease key.</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Ledger recording</w:t>
            </w:r>
          </w:p>
        </w:tc>
        <w:tc>
          <w:tcPr>
            <w:tcW w:type="dxa" w:w="71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Every lease event (grant, renewal, revocation, expiration) is recorded in the immutable ledger with cryptographic proof.</w:t>
            </w:r>
          </w:p>
        </w:tc>
      </w:tr>
    </w:tbl>
    <w:p>
      <w:pPr>
        <w:pStyle w:val="Heading2"/>
        <w:spacing w:before="300" w:after="180"/>
      </w:pPr>
      <w:r>
        <w:rPr>
          <w:rFonts w:ascii="Arial" w:cs="Arial" w:eastAsia="Arial" w:hAnsi="Arial"/>
          <w:b/>
          <w:bCs/>
          <w:color w:val="1B2A4A"/>
          <w:sz w:val="28"/>
          <w:szCs w:val="28"/>
        </w:rPr>
        <w:t xml:space="preserve">2.3 Lease Lifecycle</w:t>
      </w:r>
    </w:p>
    <w:p>
      <w:pPr>
        <w:spacing w:before="240" w:after="120"/>
      </w:pPr>
      <w:r>
        <w:rPr>
          <w:rFonts w:ascii="Arial" w:cs="Arial" w:eastAsia="Arial" w:hAnsi="Arial"/>
          <w:b/>
          <w:bCs/>
          <w:color w:val="1B2A4A"/>
          <w:sz w:val="24"/>
          <w:szCs w:val="24"/>
        </w:rPr>
        <w:t xml:space="preserve">Grant</w:t>
      </w:r>
    </w:p>
    <w:p>
      <w:pPr>
        <w:spacing w:after="160"/>
      </w:pPr>
      <w:r>
        <w:rPr>
          <w:rFonts w:ascii="Arial" w:cs="Arial" w:eastAsia="Arial" w:hAnsi="Arial"/>
          <w:color w:val="333333"/>
          <w:sz w:val="22"/>
          <w:szCs w:val="22"/>
        </w:rPr>
        <w:t xml:space="preserve">When a user peers with an institution, the protocol generates a lease scoped to the new branch. The lease key is derived from the peering handshake material, the institution's certificate, and the lease term. The lease is recorded in the ledger.</w:t>
      </w:r>
    </w:p>
    <w:p>
      <w:pPr>
        <w:spacing w:before="240" w:after="120"/>
      </w:pPr>
      <w:r>
        <w:rPr>
          <w:rFonts w:ascii="Arial" w:cs="Arial" w:eastAsia="Arial" w:hAnsi="Arial"/>
          <w:b/>
          <w:bCs/>
          <w:color w:val="1B2A4A"/>
          <w:sz w:val="24"/>
          <w:szCs w:val="24"/>
        </w:rPr>
        <w:t xml:space="preserve">Renewal</w:t>
      </w:r>
    </w:p>
    <w:p>
      <w:pPr>
        <w:spacing w:after="160"/>
      </w:pPr>
      <w:r>
        <w:rPr>
          <w:rFonts w:ascii="Arial" w:cs="Arial" w:eastAsia="Arial" w:hAnsi="Arial"/>
          <w:color w:val="333333"/>
          <w:sz w:val="22"/>
          <w:szCs w:val="22"/>
        </w:rPr>
        <w:t xml:space="preserve">At the lease term boundary, the protocol automatically generates a new lease key and re-wraps the branch's DEKs. The old lease key is invalidated. The institution's operational access is uninterrupted. The renewal is recorded in the ledger.</w:t>
      </w:r>
    </w:p>
    <w:p>
      <w:pPr>
        <w:spacing w:before="240" w:after="120"/>
      </w:pPr>
      <w:r>
        <w:rPr>
          <w:rFonts w:ascii="Arial" w:cs="Arial" w:eastAsia="Arial" w:hAnsi="Arial"/>
          <w:b/>
          <w:bCs/>
          <w:color w:val="1B2A4A"/>
          <w:sz w:val="24"/>
          <w:szCs w:val="24"/>
        </w:rPr>
        <w:t xml:space="preserve">Revocation</w:t>
      </w:r>
    </w:p>
    <w:p>
      <w:pPr>
        <w:spacing w:after="160"/>
      </w:pPr>
      <w:r>
        <w:rPr>
          <w:rFonts w:ascii="Arial" w:cs="Arial" w:eastAsia="Arial" w:hAnsi="Arial"/>
          <w:color w:val="333333"/>
          <w:sz w:val="22"/>
          <w:szCs w:val="22"/>
        </w:rPr>
        <w:t xml:space="preserve">The user initiates revocation through their vault interface. The protocol consults the branch policy to determine what happens to each data category (immediate purge, downgrade, or retention under the policy's declared terms). The revocation is recorded in the ledger.</w:t>
      </w:r>
    </w:p>
    <w:p>
      <w:pPr>
        <w:spacing w:before="240" w:after="120"/>
      </w:pPr>
      <w:r>
        <w:rPr>
          <w:rFonts w:ascii="Arial" w:cs="Arial" w:eastAsia="Arial" w:hAnsi="Arial"/>
          <w:b/>
          <w:bCs/>
          <w:color w:val="1B2A4A"/>
          <w:sz w:val="24"/>
          <w:szCs w:val="24"/>
        </w:rPr>
        <w:t xml:space="preserve">Expiration</w:t>
      </w:r>
    </w:p>
    <w:p>
      <w:pPr>
        <w:spacing w:after="160"/>
      </w:pPr>
      <w:r>
        <w:rPr>
          <w:rFonts w:ascii="Arial" w:cs="Arial" w:eastAsia="Arial" w:hAnsi="Arial"/>
          <w:color w:val="333333"/>
          <w:sz w:val="22"/>
          <w:szCs w:val="22"/>
        </w:rPr>
        <w:t xml:space="preserve">If auto-renewal is disabled (by user configuration or policy), the lease expires at the term boundary. The institution's lease key becomes non-functional. DEK wrappings for the institutional key path are removed. The expiration is recorded in the ledger.</w:t>
      </w:r>
    </w:p>
    <w:p>
      <w:pPr>
        <w:pStyle w:val="Heading2"/>
        <w:spacing w:before="300" w:after="180"/>
      </w:pPr>
      <w:r>
        <w:rPr>
          <w:rFonts w:ascii="Arial" w:cs="Arial" w:eastAsia="Arial" w:hAnsi="Arial"/>
          <w:b/>
          <w:bCs/>
          <w:color w:val="1B2A4A"/>
          <w:sz w:val="28"/>
          <w:szCs w:val="28"/>
        </w:rPr>
        <w:t xml:space="preserve">2.4 Lease and the Validator Network</w:t>
      </w:r>
    </w:p>
    <w:p>
      <w:pPr>
        <w:spacing w:after="160"/>
      </w:pPr>
      <w:r>
        <w:rPr>
          <w:rFonts w:ascii="Arial" w:cs="Arial" w:eastAsia="Arial" w:hAnsi="Arial"/>
          <w:color w:val="333333"/>
          <w:sz w:val="22"/>
          <w:szCs w:val="22"/>
        </w:rPr>
        <w:t xml:space="preserve">The validator network validates lease lifecycle events—not individual data operations. Validators confirm lease grants, renewals, revocations, and expirations. They do not validate every read or write within an active lease. This keeps validator traffic proportional to relationship events (thousands per day per institution), not transaction volume (potentially billions).</w:t>
      </w:r>
    </w:p>
    <w:p>
      <w:pPr>
        <w:spacing w:after="160"/>
      </w:pPr>
      <w:r>
        <w:rPr>
          <w:rFonts w:ascii="Arial" w:cs="Arial" w:eastAsia="Arial" w:hAnsi="Arial"/>
          <w:color w:val="333333"/>
          <w:sz w:val="22"/>
          <w:szCs w:val="22"/>
        </w:rPr>
        <w:t xml:space="preserve">Day-to-day operations within an active lease are governed by the local ledger. The local ledger syncs lease state with the global ledger on lease events, not on every transaction.</w:t>
      </w:r>
    </w:p>
    <w:p>
      <w:r>
        <w:br w:type="page"/>
      </w:r>
    </w:p>
    <w:p>
      <w:pPr>
        <w:pStyle w:val="Heading1"/>
        <w:spacing w:before="400" w:after="200"/>
      </w:pPr>
      <w:r>
        <w:rPr>
          <w:rFonts w:ascii="Arial" w:cs="Arial" w:eastAsia="Arial" w:hAnsi="Arial"/>
          <w:b/>
          <w:bCs/>
          <w:color w:val="1B2A4A"/>
          <w:sz w:val="32"/>
          <w:szCs w:val="32"/>
        </w:rPr>
        <w:t xml:space="preserve">3. Branch Policy</w:t>
      </w:r>
    </w:p>
    <w:p>
      <w:pPr>
        <w:pStyle w:val="Heading2"/>
        <w:spacing w:before="300" w:after="180"/>
      </w:pPr>
      <w:r>
        <w:rPr>
          <w:rFonts w:ascii="Arial" w:cs="Arial" w:eastAsia="Arial" w:hAnsi="Arial"/>
          <w:b/>
          <w:bCs/>
          <w:color w:val="1B2A4A"/>
          <w:sz w:val="28"/>
          <w:szCs w:val="28"/>
        </w:rPr>
        <w:t xml:space="preserve">3.1 What a Branch Policy Is</w:t>
      </w:r>
    </w:p>
    <w:p>
      <w:pPr>
        <w:spacing w:after="160"/>
      </w:pPr>
      <w:r>
        <w:rPr>
          <w:rFonts w:ascii="Arial" w:cs="Arial" w:eastAsia="Arial" w:hAnsi="Arial"/>
          <w:color w:val="333333"/>
          <w:sz w:val="22"/>
          <w:szCs w:val="22"/>
        </w:rPr>
        <w:t xml:space="preserve">Every institutional branch must publish a cryptographically signed policy document recorded on the ledger. The branch policy is the governing contract for the institutional relationship. It declares what data the institution stores, at what security levels, for how long, and what happens under various lifecycle events (revocation, transfer, account closure).</w:t>
      </w:r>
    </w:p>
    <w:p>
      <w:pPr>
        <w:spacing w:after="160"/>
      </w:pPr>
      <w:r>
        <w:rPr>
          <w:rFonts w:ascii="Arial" w:cs="Arial" w:eastAsia="Arial" w:hAnsi="Arial"/>
          <w:color w:val="333333"/>
          <w:sz w:val="22"/>
          <w:szCs w:val="22"/>
        </w:rPr>
        <w:t xml:space="preserve">The policy is machine-executable: it consists of typed attributes with a defined schema that can be evaluated by software or hardware enforcement engines. The policy is also human-readable: each attribute has an associated description rendered in the user's vault interface.</w:t>
      </w:r>
    </w:p>
    <w:p>
      <w:pPr>
        <w:pStyle w:val="Heading2"/>
        <w:spacing w:before="300" w:after="180"/>
      </w:pPr>
      <w:r>
        <w:rPr>
          <w:rFonts w:ascii="Arial" w:cs="Arial" w:eastAsia="Arial" w:hAnsi="Arial"/>
          <w:b/>
          <w:bCs/>
          <w:color w:val="1B2A4A"/>
          <w:sz w:val="28"/>
          <w:szCs w:val="28"/>
        </w:rPr>
        <w:t xml:space="preserve">3.2 Constitutional Minimums</w:t>
      </w:r>
    </w:p>
    <w:p>
      <w:pPr>
        <w:spacing w:after="160"/>
      </w:pPr>
      <w:r>
        <w:rPr>
          <w:rFonts w:ascii="Arial" w:cs="Arial" w:eastAsia="Arial" w:hAnsi="Arial"/>
          <w:color w:val="333333"/>
          <w:sz w:val="22"/>
          <w:szCs w:val="22"/>
        </w:rPr>
        <w:t xml:space="preserve">The specification defines a small set of inviolable rules that no branch policy can override. These are the protocol-enforced constitutional minimums:</w:t>
      </w:r>
    </w:p>
    <w:p>
      <w:pPr>
        <w:pStyle w:val="ListParagraph"/>
        <w:numPr>
          <w:ilvl w:val="0"/>
          <w:numId w:val="2"/>
        </w:numPr>
        <w:spacing w:after="100"/>
      </w:pPr>
      <w:r>
        <w:rPr>
          <w:rFonts w:ascii="Arial" w:cs="Arial" w:eastAsia="Arial" w:hAnsi="Arial"/>
          <w:b/>
          <w:bCs/>
          <w:i w:val="false"/>
          <w:iCs w:val="false"/>
          <w:color w:val="333333"/>
          <w:sz w:val="22"/>
          <w:szCs w:val="22"/>
        </w:rPr>
        <w:t xml:space="preserve">Notification: </w:t>
      </w:r>
      <w:r>
        <w:rPr>
          <w:rFonts w:ascii="Arial" w:cs="Arial" w:eastAsia="Arial" w:hAnsi="Arial"/>
          <w:b w:val="false"/>
          <w:bCs w:val="false"/>
          <w:i w:val="false"/>
          <w:iCs w:val="false"/>
          <w:color w:val="333333"/>
          <w:sz w:val="22"/>
          <w:szCs w:val="22"/>
        </w:rPr>
        <w:t xml:space="preserve">The institution must notify the user of any policy change through the Bonafide protocol.</w:t>
      </w:r>
    </w:p>
    <w:p>
      <w:pPr>
        <w:pStyle w:val="ListParagraph"/>
        <w:numPr>
          <w:ilvl w:val="0"/>
          <w:numId w:val="2"/>
        </w:numPr>
        <w:spacing w:after="100"/>
      </w:pPr>
      <w:r>
        <w:rPr>
          <w:rFonts w:ascii="Arial" w:cs="Arial" w:eastAsia="Arial" w:hAnsi="Arial"/>
          <w:b/>
          <w:bCs/>
          <w:i w:val="false"/>
          <w:iCs w:val="false"/>
          <w:color w:val="333333"/>
          <w:sz w:val="22"/>
          <w:szCs w:val="22"/>
        </w:rPr>
        <w:t xml:space="preserve">Consent: </w:t>
      </w:r>
      <w:r>
        <w:rPr>
          <w:rFonts w:ascii="Arial" w:cs="Arial" w:eastAsia="Arial" w:hAnsi="Arial"/>
          <w:b w:val="false"/>
          <w:bCs w:val="false"/>
          <w:i w:val="false"/>
          <w:iCs w:val="false"/>
          <w:color w:val="333333"/>
          <w:sz w:val="22"/>
          <w:szCs w:val="22"/>
        </w:rPr>
        <w:t xml:space="preserve">The user must explicitly accept any policy change. Continued use does not constitute consent.</w:t>
      </w:r>
    </w:p>
    <w:p>
      <w:pPr>
        <w:pStyle w:val="ListParagraph"/>
        <w:numPr>
          <w:ilvl w:val="0"/>
          <w:numId w:val="2"/>
        </w:numPr>
        <w:spacing w:after="100"/>
      </w:pPr>
      <w:r>
        <w:rPr>
          <w:rFonts w:ascii="Arial" w:cs="Arial" w:eastAsia="Arial" w:hAnsi="Arial"/>
          <w:b/>
          <w:bCs/>
          <w:i w:val="false"/>
          <w:iCs w:val="false"/>
          <w:color w:val="333333"/>
          <w:sz w:val="22"/>
          <w:szCs w:val="22"/>
        </w:rPr>
        <w:t xml:space="preserve">Transfer consent: </w:t>
      </w:r>
      <w:r>
        <w:rPr>
          <w:rFonts w:ascii="Arial" w:cs="Arial" w:eastAsia="Arial" w:hAnsi="Arial"/>
          <w:b w:val="false"/>
          <w:bCs w:val="false"/>
          <w:i w:val="false"/>
          <w:iCs w:val="false"/>
          <w:color w:val="333333"/>
          <w:sz w:val="22"/>
          <w:szCs w:val="22"/>
        </w:rPr>
        <w:t xml:space="preserve">The user must explicitly accept institutional transfers. Silence defaults to rejection.</w:t>
      </w:r>
    </w:p>
    <w:p>
      <w:pPr>
        <w:pStyle w:val="ListParagraph"/>
        <w:numPr>
          <w:ilvl w:val="0"/>
          <w:numId w:val="2"/>
        </w:numPr>
        <w:spacing w:after="100"/>
      </w:pPr>
      <w:r>
        <w:rPr>
          <w:rFonts w:ascii="Arial" w:cs="Arial" w:eastAsia="Arial" w:hAnsi="Arial"/>
          <w:b/>
          <w:bCs/>
          <w:i w:val="false"/>
          <w:iCs w:val="false"/>
          <w:color w:val="333333"/>
          <w:sz w:val="22"/>
          <w:szCs w:val="22"/>
        </w:rPr>
        <w:t xml:space="preserve">Finite leases: </w:t>
      </w:r>
      <w:r>
        <w:rPr>
          <w:rFonts w:ascii="Arial" w:cs="Arial" w:eastAsia="Arial" w:hAnsi="Arial"/>
          <w:b w:val="false"/>
          <w:bCs w:val="false"/>
          <w:i w:val="false"/>
          <w:iCs w:val="false"/>
          <w:color w:val="333333"/>
          <w:sz w:val="22"/>
          <w:szCs w:val="22"/>
        </w:rPr>
        <w:t xml:space="preserve">Leases must have finite terms with auto-renewal. No perpetual grants.</w:t>
      </w:r>
    </w:p>
    <w:p>
      <w:pPr>
        <w:pStyle w:val="ListParagraph"/>
        <w:numPr>
          <w:ilvl w:val="0"/>
          <w:numId w:val="2"/>
        </w:numPr>
        <w:spacing w:after="100"/>
      </w:pPr>
      <w:r>
        <w:rPr>
          <w:rFonts w:ascii="Arial" w:cs="Arial" w:eastAsia="Arial" w:hAnsi="Arial"/>
          <w:b/>
          <w:bCs/>
          <w:i w:val="false"/>
          <w:iCs w:val="false"/>
          <w:color w:val="333333"/>
          <w:sz w:val="22"/>
          <w:szCs w:val="22"/>
        </w:rPr>
        <w:t xml:space="preserve">Revocability: </w:t>
      </w:r>
      <w:r>
        <w:rPr>
          <w:rFonts w:ascii="Arial" w:cs="Arial" w:eastAsia="Arial" w:hAnsi="Arial"/>
          <w:b w:val="false"/>
          <w:bCs w:val="false"/>
          <w:i w:val="false"/>
          <w:iCs w:val="false"/>
          <w:color w:val="333333"/>
          <w:sz w:val="22"/>
          <w:szCs w:val="22"/>
        </w:rPr>
        <w:t xml:space="preserve">The user can always revoke a lease, subject to the retention terms they originally accepted.</w:t>
      </w:r>
    </w:p>
    <w:p>
      <w:pPr>
        <w:pStyle w:val="ListParagraph"/>
        <w:numPr>
          <w:ilvl w:val="0"/>
          <w:numId w:val="2"/>
        </w:numPr>
        <w:spacing w:after="100"/>
      </w:pPr>
      <w:r>
        <w:rPr>
          <w:rFonts w:ascii="Arial" w:cs="Arial" w:eastAsia="Arial" w:hAnsi="Arial"/>
          <w:b/>
          <w:bCs/>
          <w:i w:val="false"/>
          <w:iCs w:val="false"/>
          <w:color w:val="333333"/>
          <w:sz w:val="22"/>
          <w:szCs w:val="22"/>
        </w:rPr>
        <w:t xml:space="preserve">Transparency: </w:t>
      </w:r>
      <w:r>
        <w:rPr>
          <w:rFonts w:ascii="Arial" w:cs="Arial" w:eastAsia="Arial" w:hAnsi="Arial"/>
          <w:b w:val="false"/>
          <w:bCs w:val="false"/>
          <w:i w:val="false"/>
          <w:iCs w:val="false"/>
          <w:color w:val="333333"/>
          <w:sz w:val="22"/>
          <w:szCs w:val="22"/>
        </w:rPr>
        <w:t xml:space="preserve">The institution must declare what data it retains and for how long before the relationship begins.</w:t>
      </w:r>
    </w:p>
    <w:p>
      <w:pPr>
        <w:pStyle w:val="ListParagraph"/>
        <w:numPr>
          <w:ilvl w:val="0"/>
          <w:numId w:val="2"/>
        </w:numPr>
        <w:spacing w:after="100"/>
      </w:pPr>
      <w:r>
        <w:rPr>
          <w:rFonts w:ascii="Arial" w:cs="Arial" w:eastAsia="Arial" w:hAnsi="Arial"/>
          <w:b/>
          <w:bCs/>
          <w:i w:val="false"/>
          <w:iCs w:val="false"/>
          <w:color w:val="333333"/>
          <w:sz w:val="22"/>
          <w:szCs w:val="22"/>
        </w:rPr>
        <w:t xml:space="preserve">Proof: </w:t>
      </w:r>
      <w:r>
        <w:rPr>
          <w:rFonts w:ascii="Arial" w:cs="Arial" w:eastAsia="Arial" w:hAnsi="Arial"/>
          <w:b w:val="false"/>
          <w:bCs w:val="false"/>
          <w:i w:val="false"/>
          <w:iCs w:val="false"/>
          <w:color w:val="333333"/>
          <w:sz w:val="22"/>
          <w:szCs w:val="22"/>
        </w:rPr>
        <w:t xml:space="preserve">Cryptographic proof of every lease event (grant, renew, revoke, transfer) is recorded on the ledger.</w:t>
      </w:r>
    </w:p>
    <w:p>
      <w:pPr>
        <w:pStyle w:val="ListParagraph"/>
        <w:numPr>
          <w:ilvl w:val="0"/>
          <w:numId w:val="2"/>
        </w:numPr>
        <w:spacing w:after="100"/>
      </w:pPr>
      <w:r>
        <w:rPr>
          <w:rFonts w:ascii="Arial" w:cs="Arial" w:eastAsia="Arial" w:hAnsi="Arial"/>
          <w:b/>
          <w:bCs/>
          <w:i w:val="false"/>
          <w:iCs w:val="false"/>
          <w:color w:val="333333"/>
          <w:sz w:val="22"/>
          <w:szCs w:val="22"/>
        </w:rPr>
        <w:t xml:space="preserve">No retroactive weakening: </w:t>
      </w:r>
      <w:r>
        <w:rPr>
          <w:rFonts w:ascii="Arial" w:cs="Arial" w:eastAsia="Arial" w:hAnsi="Arial"/>
          <w:b w:val="false"/>
          <w:bCs w:val="false"/>
          <w:i w:val="false"/>
          <w:iCs w:val="false"/>
          <w:color w:val="333333"/>
          <w:sz w:val="22"/>
          <w:szCs w:val="22"/>
        </w:rPr>
        <w:t xml:space="preserve">A policy update cannot reduce protections on data already stored under the previous policy without user acceptance.</w:t>
      </w:r>
    </w:p>
    <w:p>
      <w:pPr>
        <w:pStyle w:val="Heading2"/>
        <w:spacing w:before="300" w:after="180"/>
      </w:pPr>
      <w:r>
        <w:rPr>
          <w:rFonts w:ascii="Arial" w:cs="Arial" w:eastAsia="Arial" w:hAnsi="Arial"/>
          <w:b/>
          <w:bCs/>
          <w:color w:val="1B2A4A"/>
          <w:sz w:val="28"/>
          <w:szCs w:val="28"/>
        </w:rPr>
        <w:t xml:space="preserve">3.3 Policy Attribute Schema</w:t>
      </w:r>
    </w:p>
    <w:p>
      <w:pPr>
        <w:spacing w:after="160"/>
      </w:pPr>
      <w:r>
        <w:rPr>
          <w:rFonts w:ascii="Arial" w:cs="Arial" w:eastAsia="Arial" w:hAnsi="Arial"/>
          <w:color w:val="333333"/>
          <w:sz w:val="22"/>
          <w:szCs w:val="22"/>
        </w:rPr>
        <w:t xml:space="preserve">The policy consists of typed key-value attributes organized by namespace. The specification defines the attribute schema (field names, data types, valid value ranges, and operator set). Institutions fill in the values. The schema is extensible—institutions and industry groups can add namespaces—but cannot remove or weaken the constitutional attributes.</w:t>
      </w:r>
    </w:p>
    <w:p>
      <w:pPr>
        <w:spacing w:before="240" w:after="120"/>
      </w:pPr>
      <w:r>
        <w:rPr>
          <w:rFonts w:ascii="Arial" w:cs="Arial" w:eastAsia="Arial" w:hAnsi="Arial"/>
          <w:b/>
          <w:bCs/>
          <w:color w:val="1B2A4A"/>
          <w:sz w:val="24"/>
          <w:szCs w:val="24"/>
        </w:rPr>
        <w:t xml:space="preserve">Core Attribute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Namespace</w:t>
            </w:r>
          </w:p>
        </w:tc>
        <w:tc>
          <w:tcPr>
            <w:tcW w:type="dxa" w:w="3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Scope</w:t>
            </w:r>
          </w:p>
        </w:tc>
        <w:tc>
          <w:tcPr>
            <w:tcW w:type="dxa" w:w="4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Example Attributes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lease.*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Lease terms and behavior</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lease.term_days, lease.auto_renew, lease.on_expire, lease.grace_period_days</w:t>
            </w:r>
          </w:p>
        </w:tc>
      </w:tr>
      <w:tr>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data.*</w:t>
            </w:r>
          </w:p>
        </w:tc>
        <w:tc>
          <w:tcPr>
            <w:tcW w:type="dxa" w:w="3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Data classification and handling</w:t>
            </w:r>
          </w:p>
        </w:tc>
        <w:tc>
          <w:tcPr>
            <w:tcW w:type="dxa" w:w="4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data.&lt;category&gt;.security_level, data.&lt;category&gt;.user_visible, data.&lt;category&gt;.on_revoke, data.&lt;category&gt;.retention_days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transfer.*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Transfer behavior</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transfer.require_user_accept, transfer.default_on_silence, transfer.notice_days</w:t>
            </w:r>
          </w:p>
        </w:tc>
      </w:tr>
      <w:tr>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retention.*</w:t>
            </w:r>
          </w:p>
        </w:tc>
        <w:tc>
          <w:tcPr>
            <w:tcW w:type="dxa" w:w="3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Post-closure retention</w:t>
            </w:r>
          </w:p>
        </w:tc>
        <w:tc>
          <w:tcPr>
            <w:tcW w:type="dxa" w:w="4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retention.&lt;category&gt;.duration_days, retention.&lt;category&gt;.security_level, retention.&lt;category&gt;.legal_basis</w:t>
            </w:r>
          </w:p>
        </w:tc>
      </w:tr>
    </w:tbl>
    <w:p>
      <w:pPr>
        <w:spacing w:after="100"/>
      </w:pPr>
    </w:p>
    <w:p>
      <w:pPr>
        <w:spacing w:before="240" w:after="120"/>
      </w:pPr>
      <w:r>
        <w:rPr>
          <w:rFonts w:ascii="Arial" w:cs="Arial" w:eastAsia="Arial" w:hAnsi="Arial"/>
          <w:b/>
          <w:bCs/>
          <w:color w:val="1B2A4A"/>
          <w:sz w:val="24"/>
          <w:szCs w:val="24"/>
        </w:rPr>
        <w:t xml:space="preserve">Attribute Value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Format</w:t>
            </w:r>
          </w:p>
        </w:tc>
        <w:tc>
          <w:tcPr>
            <w:tcW w:type="dxa" w:w="2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Operators</w:t>
            </w:r>
          </w:p>
        </w:tc>
        <w:tc>
          <w:tcPr>
            <w:tcW w:type="dxa" w:w="2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Example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integer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Whole number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 !=, &lt;, &gt;, &lt;=, &gt;=</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data.pii.security_level = 8</w:t>
            </w:r>
          </w:p>
        </w:tc>
      </w:tr>
      <w:tr>
        <w:tc>
          <w:tcPr>
            <w:tcW w:type="dxa" w:w="1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boolean</w:t>
            </w:r>
          </w:p>
        </w:tc>
        <w:tc>
          <w:tcPr>
            <w:tcW w:type="dxa" w:w="2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true / false</w:t>
            </w:r>
          </w:p>
        </w:tc>
        <w:tc>
          <w:tcPr>
            <w:tcW w:type="dxa" w:w="2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 !=</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lease.auto_renew = true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enum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Defined value set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 !=, in</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data.pii.on_revoke = purge</w:t>
            </w:r>
          </w:p>
        </w:tc>
      </w:tr>
      <w:tr>
        <w:tc>
          <w:tcPr>
            <w:tcW w:type="dxa" w:w="1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duration</w:t>
            </w:r>
          </w:p>
        </w:tc>
        <w:tc>
          <w:tcPr>
            <w:tcW w:type="dxa" w:w="2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Integer + unit (days, hours)</w:t>
            </w:r>
          </w:p>
        </w:tc>
        <w:tc>
          <w:tcPr>
            <w:tcW w:type="dxa" w:w="2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 !=, &lt;, &gt;, &lt;=, &gt;=</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lease.term_days = 30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string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UTF-8 text (descriptions only)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N/A (not evaluated)</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data.pii.description = "Personal..."</w:t>
            </w:r>
          </w:p>
        </w:tc>
      </w:tr>
    </w:tbl>
    <w:p>
      <w:pPr>
        <w:spacing w:after="100"/>
      </w:pPr>
    </w:p>
    <w:p>
      <w:pPr>
        <w:spacing w:before="240" w:after="120"/>
      </w:pPr>
      <w:r>
        <w:rPr>
          <w:rFonts w:ascii="Arial" w:cs="Arial" w:eastAsia="Arial" w:hAnsi="Arial"/>
          <w:b/>
          <w:bCs/>
          <w:color w:val="1B2A4A"/>
          <w:sz w:val="24"/>
          <w:szCs w:val="24"/>
        </w:rPr>
        <w:t xml:space="preserve">Action Enumerations</w:t>
      </w:r>
    </w:p>
    <w:p>
      <w:pPr>
        <w:spacing w:after="160"/>
      </w:pPr>
      <w:r>
        <w:rPr>
          <w:rFonts w:ascii="Arial" w:cs="Arial" w:eastAsia="Arial" w:hAnsi="Arial"/>
          <w:color w:val="333333"/>
          <w:sz w:val="22"/>
          <w:szCs w:val="22"/>
        </w:rPr>
        <w:t xml:space="preserve">The on_revoke and on_expire attributes use a defined action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Action</w:t>
            </w:r>
          </w:p>
        </w:tc>
        <w:tc>
          <w:tcPr>
            <w:tcW w:type="dxa" w:w="73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Behavior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purge</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Remove institutional DEK wrappings immediately. Data becomes undecryptable to the institution.</w:t>
            </w:r>
          </w:p>
        </w:tc>
      </w:tr>
      <w:tr>
        <w:tc>
          <w:tcPr>
            <w:tcW w:type="dxa" w:w="2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purge(N)</w:t>
            </w:r>
          </w:p>
        </w:tc>
        <w:tc>
          <w:tcPr>
            <w:tcW w:type="dxa" w:w="73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Remove institutional DEK wrappings after N-day grace period.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retain</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Maintain institutional access under the declared retention terms (duration, security level, legal basis).</w:t>
            </w:r>
          </w:p>
        </w:tc>
      </w:tr>
      <w:tr>
        <w:tc>
          <w:tcPr>
            <w:tcW w:type="dxa" w:w="2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downgrade(L)</w:t>
            </w:r>
          </w:p>
        </w:tc>
        <w:tc>
          <w:tcPr>
            <w:tcW w:type="dxa" w:w="73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Change security level to L. Higher security, more restricted access. Useful for archival.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hash</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Replace plaintext with cryptographic hash. Institutional proof of data existence without content access.</w:t>
            </w:r>
          </w:p>
        </w:tc>
      </w:tr>
      <w:tr>
        <w:tc>
          <w:tcPr>
            <w:tcW w:type="dxa" w:w="2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redact</w:t>
            </w:r>
          </w:p>
        </w:tc>
        <w:tc>
          <w:tcPr>
            <w:tcW w:type="dxa" w:w="73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Replace with redacted summary (ghost quantum). Institution sees proof of category, not content.</w:t>
            </w:r>
          </w:p>
        </w:tc>
      </w:tr>
    </w:tbl>
    <w:p>
      <w:pPr>
        <w:pStyle w:val="Heading2"/>
        <w:spacing w:before="300" w:after="180"/>
      </w:pPr>
      <w:r>
        <w:rPr>
          <w:rFonts w:ascii="Arial" w:cs="Arial" w:eastAsia="Arial" w:hAnsi="Arial"/>
          <w:b/>
          <w:bCs/>
          <w:color w:val="1B2A4A"/>
          <w:sz w:val="28"/>
          <w:szCs w:val="28"/>
        </w:rPr>
        <w:t xml:space="preserve">3.4 Machine Execution</w:t>
      </w:r>
    </w:p>
    <w:p>
      <w:pPr>
        <w:spacing w:after="160"/>
      </w:pPr>
      <w:r>
        <w:rPr>
          <w:rFonts w:ascii="Arial" w:cs="Arial" w:eastAsia="Arial" w:hAnsi="Arial"/>
          <w:color w:val="333333"/>
          <w:sz w:val="22"/>
          <w:szCs w:val="22"/>
        </w:rPr>
        <w:t xml:space="preserve">The policy attribute set compiles to a binary format loadable by the Bonafide runtime and, on Classification S deployments, by the HSM's Security Enforcer IP block. The binary format is a lookup table of attribute-value pairs that the enforcement engine evaluates as gate conditions: integer comparisons, boolean checks, and enum lookups. No loops, no function calls, no complex branching.</w:t>
      </w:r>
    </w:p>
    <w:p>
      <w:pPr>
        <w:spacing w:after="160"/>
      </w:pPr>
      <w:r>
        <w:rPr>
          <w:rFonts w:ascii="Arial" w:cs="Arial" w:eastAsia="Arial" w:hAnsi="Arial"/>
          <w:color w:val="333333"/>
          <w:sz w:val="22"/>
          <w:szCs w:val="22"/>
        </w:rPr>
        <w:t xml:space="preserve">The specification defines the binary format. How institutions author the policy (YAML, XML, GUI, or any other tool) is an implementation concern.</w:t>
      </w:r>
    </w:p>
    <w:p>
      <w:pPr>
        <w:pStyle w:val="Heading2"/>
        <w:spacing w:before="300" w:after="180"/>
      </w:pPr>
      <w:r>
        <w:rPr>
          <w:rFonts w:ascii="Arial" w:cs="Arial" w:eastAsia="Arial" w:hAnsi="Arial"/>
          <w:b/>
          <w:bCs/>
          <w:color w:val="1B2A4A"/>
          <w:sz w:val="28"/>
          <w:szCs w:val="28"/>
        </w:rPr>
        <w:t xml:space="preserve">3.5 Hierarchical Policy Resolution</w:t>
      </w:r>
    </w:p>
    <w:p>
      <w:pPr>
        <w:spacing w:after="160"/>
      </w:pPr>
      <w:r>
        <w:rPr>
          <w:rFonts w:ascii="Arial" w:cs="Arial" w:eastAsia="Arial" w:hAnsi="Arial"/>
          <w:color w:val="333333"/>
          <w:sz w:val="22"/>
          <w:szCs w:val="22"/>
        </w:rPr>
        <w:t xml:space="preserve">Policies can inherit from parent policies using a hierarchical namespace path. A base policy defines defaults. Sector-specific and jurisdiction-specific policies override specific attributes. The final resolved attribute set is the policy that governs the branch.</w:t>
      </w:r>
    </w:p>
    <w:p>
      <w:pPr>
        <w:spacing w:after="160"/>
      </w:pPr>
      <w:r>
        <w:rPr>
          <w:rFonts w:ascii="Arial" w:cs="Arial" w:eastAsia="Arial" w:hAnsi="Arial"/>
          <w:color w:val="333333"/>
          <w:sz w:val="22"/>
          <w:szCs w:val="22"/>
        </w:rPr>
        <w:t xml:space="preserve">Resolution order: most specific wins. Constitutional minimums always override. Conflicts between same-level policies are rejected—the institution must resolve ambiguity before publication.</w:t>
      </w:r>
    </w:p>
    <w:p>
      <w:pPr>
        <w:spacing w:after="160"/>
      </w:pPr>
      <w:r>
        <w:rPr>
          <w:rFonts w:ascii="Arial" w:cs="Arial" w:eastAsia="Arial" w:hAnsi="Arial"/>
          <w:color w:val="333333"/>
          <w:sz w:val="22"/>
          <w:szCs w:val="22"/>
        </w:rPr>
        <w:t xml:space="preserve">The specification defines the resolution algorithm. The Foundation does not maintain the hierarchy—institutions and industry groups maintain their own policy trees.</w:t>
      </w:r>
    </w:p>
    <w:p>
      <w:r>
        <w:br w:type="page"/>
      </w:r>
    </w:p>
    <w:p>
      <w:pPr>
        <w:pStyle w:val="Heading1"/>
        <w:spacing w:before="400" w:after="200"/>
      </w:pPr>
      <w:r>
        <w:rPr>
          <w:rFonts w:ascii="Arial" w:cs="Arial" w:eastAsia="Arial" w:hAnsi="Arial"/>
          <w:b/>
          <w:bCs/>
          <w:color w:val="1B2A4A"/>
          <w:sz w:val="32"/>
          <w:szCs w:val="32"/>
        </w:rPr>
        <w:t xml:space="preserve">4. Institutional Transfer Protocol</w:t>
      </w:r>
    </w:p>
    <w:p>
      <w:pPr>
        <w:pStyle w:val="Heading2"/>
        <w:spacing w:before="300" w:after="180"/>
      </w:pPr>
      <w:r>
        <w:rPr>
          <w:rFonts w:ascii="Arial" w:cs="Arial" w:eastAsia="Arial" w:hAnsi="Arial"/>
          <w:b/>
          <w:bCs/>
          <w:color w:val="1B2A4A"/>
          <w:sz w:val="28"/>
          <w:szCs w:val="28"/>
        </w:rPr>
        <w:t xml:space="preserve">4.1 When Transfers Occur</w:t>
      </w:r>
    </w:p>
    <w:p>
      <w:pPr>
        <w:spacing w:after="160"/>
      </w:pPr>
      <w:r>
        <w:rPr>
          <w:rFonts w:ascii="Arial" w:cs="Arial" w:eastAsia="Arial" w:hAnsi="Arial"/>
          <w:color w:val="333333"/>
          <w:sz w:val="22"/>
          <w:szCs w:val="22"/>
        </w:rPr>
        <w:t xml:space="preserve">Institutional transfers occur when a user's branch data changes hands: acquisitions, mergers, divestitures, regulatory receivership, or voluntary institution-to-institution migration. The Bonafide protocol does not allow automatic inheritance of branch data. Every transfer requires explicit user action.</w:t>
      </w:r>
    </w:p>
    <w:p>
      <w:pPr>
        <w:pStyle w:val="Heading2"/>
        <w:spacing w:before="300" w:after="180"/>
      </w:pPr>
      <w:r>
        <w:rPr>
          <w:rFonts w:ascii="Arial" w:cs="Arial" w:eastAsia="Arial" w:hAnsi="Arial"/>
          <w:b/>
          <w:bCs/>
          <w:color w:val="1B2A4A"/>
          <w:sz w:val="28"/>
          <w:szCs w:val="28"/>
        </w:rPr>
        <w:t xml:space="preserve">4.2 Transfer Flow</w:t>
      </w:r>
    </w:p>
    <w:p>
      <w:pPr>
        <w:spacing w:before="240" w:after="120"/>
      </w:pPr>
      <w:r>
        <w:rPr>
          <w:rFonts w:ascii="Arial" w:cs="Arial" w:eastAsia="Arial" w:hAnsi="Arial"/>
          <w:b/>
          <w:bCs/>
          <w:color w:val="1B2A4A"/>
          <w:sz w:val="24"/>
          <w:szCs w:val="24"/>
        </w:rPr>
        <w:t xml:space="preserve">Step 1 — Transfer Intent</w:t>
      </w:r>
    </w:p>
    <w:p>
      <w:pPr>
        <w:spacing w:after="160"/>
      </w:pPr>
      <w:r>
        <w:rPr>
          <w:rFonts w:ascii="Arial" w:cs="Arial" w:eastAsia="Arial" w:hAnsi="Arial"/>
          <w:color w:val="333333"/>
          <w:sz w:val="22"/>
          <w:szCs w:val="22"/>
        </w:rPr>
        <w:t xml:space="preserve">Institution A publishes a transfer intent to the ledger: the target institution (B), the effective date, and Institution B's published branch policy. This is a protocol-level event recorded on the ledger.</w:t>
      </w:r>
    </w:p>
    <w:p>
      <w:pPr>
        <w:spacing w:before="240" w:after="120"/>
      </w:pPr>
      <w:r>
        <w:rPr>
          <w:rFonts w:ascii="Arial" w:cs="Arial" w:eastAsia="Arial" w:hAnsi="Arial"/>
          <w:b/>
          <w:bCs/>
          <w:color w:val="1B2A4A"/>
          <w:sz w:val="24"/>
          <w:szCs w:val="24"/>
        </w:rPr>
        <w:t xml:space="preserve">Step 2 — Policy Comparison</w:t>
      </w:r>
    </w:p>
    <w:p>
      <w:pPr>
        <w:spacing w:after="160"/>
      </w:pPr>
      <w:r>
        <w:rPr>
          <w:rFonts w:ascii="Arial" w:cs="Arial" w:eastAsia="Arial" w:hAnsi="Arial"/>
          <w:color w:val="333333"/>
          <w:sz w:val="22"/>
          <w:szCs w:val="22"/>
        </w:rPr>
        <w:t xml:space="preserve">The Bonafide protocol compares Institution A's policy (the one the user agreed to) against Institution B's policy. Differences are categorized: equivalent, improvement, or material change. Jurisdiction changes are flagged as critical events regardless of other attributes.</w:t>
      </w:r>
    </w:p>
    <w:p>
      <w:pPr>
        <w:spacing w:before="240" w:after="120"/>
      </w:pPr>
      <w:r>
        <w:rPr>
          <w:rFonts w:ascii="Arial" w:cs="Arial" w:eastAsia="Arial" w:hAnsi="Arial"/>
          <w:b/>
          <w:bCs/>
          <w:color w:val="1B2A4A"/>
          <w:sz w:val="24"/>
          <w:szCs w:val="24"/>
        </w:rPr>
        <w:t xml:space="preserve">Step 3 — User Notification</w:t>
      </w:r>
    </w:p>
    <w:p>
      <w:pPr>
        <w:spacing w:after="160"/>
      </w:pPr>
      <w:r>
        <w:rPr>
          <w:rFonts w:ascii="Arial" w:cs="Arial" w:eastAsia="Arial" w:hAnsi="Arial"/>
          <w:color w:val="333333"/>
          <w:sz w:val="22"/>
          <w:szCs w:val="22"/>
        </w:rPr>
        <w:t xml:space="preserve">The user receives a protocol-level notification describing the transfer and the policy comparison. The notification includes: the transferring and receiving institutions, a summary of policy differences, and the user's options.</w:t>
      </w:r>
    </w:p>
    <w:p>
      <w:pPr>
        <w:spacing w:before="240" w:after="120"/>
      </w:pPr>
      <w:r>
        <w:rPr>
          <w:rFonts w:ascii="Arial" w:cs="Arial" w:eastAsia="Arial" w:hAnsi="Arial"/>
          <w:b/>
          <w:bCs/>
          <w:color w:val="1B2A4A"/>
          <w:sz w:val="24"/>
          <w:szCs w:val="24"/>
        </w:rPr>
        <w:t xml:space="preserve">Step 4 — User Decision</w:t>
      </w:r>
    </w:p>
    <w:p>
      <w:pPr>
        <w:spacing w:after="160"/>
      </w:pPr>
      <w:r>
        <w:rPr>
          <w:rFonts w:ascii="Arial" w:cs="Arial" w:eastAsia="Arial" w:hAnsi="Arial"/>
          <w:color w:val="333333"/>
          <w:sz w:val="22"/>
          <w:szCs w:val="22"/>
        </w:rPr>
        <w:t xml:space="preserve">The user has two options:</w:t>
      </w:r>
    </w:p>
    <w:p>
      <w:pPr>
        <w:pStyle w:val="ListParagraph"/>
        <w:numPr>
          <w:ilvl w:val="0"/>
          <w:numId w:val="2"/>
        </w:numPr>
        <w:spacing w:after="100"/>
      </w:pPr>
      <w:r>
        <w:rPr>
          <w:rFonts w:ascii="Arial" w:cs="Arial" w:eastAsia="Arial" w:hAnsi="Arial"/>
          <w:b/>
          <w:bCs/>
          <w:i w:val="false"/>
          <w:iCs w:val="false"/>
          <w:color w:val="333333"/>
          <w:sz w:val="22"/>
          <w:szCs w:val="22"/>
        </w:rPr>
        <w:t xml:space="preserve">Accept: </w:t>
      </w:r>
      <w:r>
        <w:rPr>
          <w:rFonts w:ascii="Arial" w:cs="Arial" w:eastAsia="Arial" w:hAnsi="Arial"/>
          <w:b w:val="false"/>
          <w:bCs w:val="false"/>
          <w:i w:val="false"/>
          <w:iCs w:val="false"/>
          <w:color w:val="333333"/>
          <w:sz w:val="22"/>
          <w:szCs w:val="22"/>
        </w:rPr>
        <w:t xml:space="preserve">Data transfers to Institution B under Institution B's policy. A new lease is established with Institution B. Institution A's lease is revoked.</w:t>
      </w:r>
    </w:p>
    <w:p>
      <w:pPr>
        <w:pStyle w:val="ListParagraph"/>
        <w:numPr>
          <w:ilvl w:val="0"/>
          <w:numId w:val="2"/>
        </w:numPr>
        <w:spacing w:after="100"/>
      </w:pPr>
      <w:r>
        <w:rPr>
          <w:rFonts w:ascii="Arial" w:cs="Arial" w:eastAsia="Arial" w:hAnsi="Arial"/>
          <w:b/>
          <w:bCs/>
          <w:i w:val="false"/>
          <w:iCs w:val="false"/>
          <w:color w:val="333333"/>
          <w:sz w:val="22"/>
          <w:szCs w:val="22"/>
        </w:rPr>
        <w:t xml:space="preserve">Reject: </w:t>
      </w:r>
      <w:r>
        <w:rPr>
          <w:rFonts w:ascii="Arial" w:cs="Arial" w:eastAsia="Arial" w:hAnsi="Arial"/>
          <w:b w:val="false"/>
          <w:bCs w:val="false"/>
          <w:i w:val="false"/>
          <w:iCs w:val="false"/>
          <w:color w:val="333333"/>
          <w:sz w:val="22"/>
          <w:szCs w:val="22"/>
        </w:rPr>
        <w:t xml:space="preserve">The branch is closed under Institution A's original policy terms. Revocation and retention rules from the original policy govern. The user's private vault copy (if synced) becomes the canonical copy.</w:t>
      </w:r>
    </w:p>
    <w:p>
      <w:pPr>
        <w:spacing w:before="240" w:after="120"/>
      </w:pPr>
      <w:r>
        <w:rPr>
          <w:rFonts w:ascii="Arial" w:cs="Arial" w:eastAsia="Arial" w:hAnsi="Arial"/>
          <w:b/>
          <w:bCs/>
          <w:color w:val="1B2A4A"/>
          <w:sz w:val="24"/>
          <w:szCs w:val="24"/>
        </w:rPr>
        <w:t xml:space="preserve">Step 5 — Default on Silence</w:t>
      </w:r>
    </w:p>
    <w:p>
      <w:pPr>
        <w:spacing w:after="160"/>
      </w:pPr>
      <w:r>
        <w:rPr>
          <w:rFonts w:ascii="Arial" w:cs="Arial" w:eastAsia="Arial" w:hAnsi="Arial"/>
          <w:color w:val="333333"/>
          <w:sz w:val="22"/>
          <w:szCs w:val="22"/>
        </w:rPr>
        <w:t xml:space="preserve">If the user does not respond within the notice period (declared in the branch policy, default: 60 days), the default action is reject. Silence is not consent. The branch is closed under the original policy terms.</w:t>
      </w:r>
    </w:p>
    <w:p>
      <w:pPr>
        <w:pStyle w:val="Heading2"/>
        <w:spacing w:before="300" w:after="180"/>
      </w:pPr>
      <w:r>
        <w:rPr>
          <w:rFonts w:ascii="Arial" w:cs="Arial" w:eastAsia="Arial" w:hAnsi="Arial"/>
          <w:b/>
          <w:bCs/>
          <w:color w:val="1B2A4A"/>
          <w:sz w:val="28"/>
          <w:szCs w:val="28"/>
        </w:rPr>
        <w:t xml:space="preserve">4.3 Transfer and Lease Mechanics</w:t>
      </w:r>
    </w:p>
    <w:p>
      <w:pPr>
        <w:spacing w:after="160"/>
      </w:pPr>
      <w:r>
        <w:rPr>
          <w:rFonts w:ascii="Arial" w:cs="Arial" w:eastAsia="Arial" w:hAnsi="Arial"/>
          <w:color w:val="333333"/>
          <w:sz w:val="22"/>
          <w:szCs w:val="22"/>
        </w:rPr>
        <w:t xml:space="preserve">A transfer is a lease revocation on Institution A followed by a lease grant to Institution B. The user's key wrappings are unaffected. Institution A's DEK wrappings are removed. Institution B's DEK wrappings are created from the new lease. The transfer event is recorded in the ledger.</w:t>
      </w:r>
    </w:p>
    <w:p>
      <w:r>
        <w:br w:type="page"/>
      </w:r>
    </w:p>
    <w:p>
      <w:pPr>
        <w:pStyle w:val="Heading1"/>
        <w:spacing w:before="400" w:after="200"/>
      </w:pPr>
      <w:r>
        <w:rPr>
          <w:rFonts w:ascii="Arial" w:cs="Arial" w:eastAsia="Arial" w:hAnsi="Arial"/>
          <w:b/>
          <w:bCs/>
          <w:color w:val="1B2A4A"/>
          <w:sz w:val="32"/>
          <w:szCs w:val="32"/>
        </w:rPr>
        <w:t xml:space="preserve">5. Policy Immutability</w:t>
      </w:r>
    </w:p>
    <w:p>
      <w:pPr>
        <w:pStyle w:val="Heading2"/>
        <w:spacing w:before="300" w:after="180"/>
      </w:pPr>
      <w:r>
        <w:rPr>
          <w:rFonts w:ascii="Arial" w:cs="Arial" w:eastAsia="Arial" w:hAnsi="Arial"/>
          <w:b/>
          <w:bCs/>
          <w:color w:val="1B2A4A"/>
          <w:sz w:val="28"/>
          <w:szCs w:val="28"/>
        </w:rPr>
        <w:t xml:space="preserve">5.1 Principle</w:t>
      </w:r>
    </w:p>
    <w:p>
      <w:pPr>
        <w:spacing w:after="160"/>
      </w:pPr>
      <w:r>
        <w:rPr>
          <w:rFonts w:ascii="Arial" w:cs="Arial" w:eastAsia="Arial" w:hAnsi="Arial"/>
          <w:color w:val="333333"/>
          <w:sz w:val="22"/>
          <w:szCs w:val="22"/>
        </w:rPr>
        <w:t xml:space="preserve">An institution cannot unilaterally change the branch policy the user agreed to. If an institution wants to update their retention terms, change their data classification, or alter any policy attribute, they must:</w:t>
      </w:r>
    </w:p>
    <w:p>
      <w:pPr>
        <w:pStyle w:val="ListParagraph"/>
        <w:numPr>
          <w:ilvl w:val="0"/>
          <w:numId w:val="2"/>
        </w:numPr>
        <w:spacing w:after="100"/>
      </w:pPr>
      <w:r>
        <w:rPr>
          <w:rFonts w:ascii="Arial" w:cs="Arial" w:eastAsia="Arial" w:hAnsi="Arial"/>
          <w:b w:val="false"/>
          <w:bCs w:val="false"/>
          <w:i w:val="false"/>
          <w:iCs w:val="false"/>
          <w:color w:val="333333"/>
          <w:sz w:val="22"/>
          <w:szCs w:val="22"/>
        </w:rPr>
        <w:t xml:space="preserve">Publish a new policy version to the ledger (cryptographically signed, timestamped).</w:t>
      </w:r>
    </w:p>
    <w:p>
      <w:pPr>
        <w:pStyle w:val="ListParagraph"/>
        <w:numPr>
          <w:ilvl w:val="0"/>
          <w:numId w:val="2"/>
        </w:numPr>
        <w:spacing w:after="100"/>
      </w:pPr>
      <w:r>
        <w:rPr>
          <w:rFonts w:ascii="Arial" w:cs="Arial" w:eastAsia="Arial" w:hAnsi="Arial"/>
          <w:b w:val="false"/>
          <w:bCs w:val="false"/>
          <w:i w:val="false"/>
          <w:iCs w:val="false"/>
          <w:color w:val="333333"/>
          <w:sz w:val="22"/>
          <w:szCs w:val="22"/>
        </w:rPr>
        <w:t xml:space="preserve">Notify the user through the Bonafide protocol.</w:t>
      </w:r>
    </w:p>
    <w:p>
      <w:pPr>
        <w:pStyle w:val="ListParagraph"/>
        <w:numPr>
          <w:ilvl w:val="0"/>
          <w:numId w:val="2"/>
        </w:numPr>
        <w:spacing w:after="100"/>
      </w:pPr>
      <w:r>
        <w:rPr>
          <w:rFonts w:ascii="Arial" w:cs="Arial" w:eastAsia="Arial" w:hAnsi="Arial"/>
          <w:b w:val="false"/>
          <w:bCs w:val="false"/>
          <w:i w:val="false"/>
          <w:iCs w:val="false"/>
          <w:color w:val="333333"/>
          <w:sz w:val="22"/>
          <w:szCs w:val="22"/>
        </w:rPr>
        <w:t xml:space="preserve">Receive the user's explicit acceptance.</w:t>
      </w:r>
    </w:p>
    <w:p>
      <w:pPr>
        <w:spacing w:after="160"/>
      </w:pPr>
      <w:r>
        <w:rPr>
          <w:rFonts w:ascii="Arial" w:cs="Arial" w:eastAsia="Arial" w:hAnsi="Arial"/>
          <w:color w:val="333333"/>
          <w:sz w:val="22"/>
          <w:szCs w:val="22"/>
        </w:rPr>
        <w:t xml:space="preserve">If the user rejects the update, the original policy remains in force for that user's branch. The institution may offer the new policy to new users. Existing users retain their original terms until they explicitly accept new ones.</w:t>
      </w:r>
    </w:p>
    <w:p>
      <w:pPr>
        <w:pStyle w:val="Heading2"/>
        <w:spacing w:before="300" w:after="180"/>
      </w:pPr>
      <w:r>
        <w:rPr>
          <w:rFonts w:ascii="Arial" w:cs="Arial" w:eastAsia="Arial" w:hAnsi="Arial"/>
          <w:b/>
          <w:bCs/>
          <w:color w:val="1B2A4A"/>
          <w:sz w:val="28"/>
          <w:szCs w:val="28"/>
        </w:rPr>
        <w:t xml:space="preserve">5.2 Policy Versioning</w:t>
      </w:r>
    </w:p>
    <w:p>
      <w:pPr>
        <w:spacing w:after="160"/>
      </w:pPr>
      <w:r>
        <w:rPr>
          <w:rFonts w:ascii="Arial" w:cs="Arial" w:eastAsia="Arial" w:hAnsi="Arial"/>
          <w:color w:val="333333"/>
          <w:sz w:val="22"/>
          <w:szCs w:val="22"/>
        </w:rPr>
        <w:t xml:space="preserve">Every policy version is recorded on the ledger with a cryptographic hash, the publishing institution's signature, and a timestamp. The ledger provides an immutable history of every policy the institution has published and every version each user has accepted.</w:t>
      </w:r>
    </w:p>
    <w:p>
      <w:pPr>
        <w:spacing w:after="160"/>
      </w:pPr>
      <w:r>
        <w:rPr>
          <w:rFonts w:ascii="Arial" w:cs="Arial" w:eastAsia="Arial" w:hAnsi="Arial"/>
          <w:color w:val="333333"/>
          <w:sz w:val="22"/>
          <w:szCs w:val="22"/>
        </w:rPr>
        <w:t xml:space="preserve">The user's vault interface shows which policy version governs each branch and alerts the user to pending policy update requests.</w:t>
      </w:r>
    </w:p>
    <w:p>
      <w:pPr>
        <w:pStyle w:val="Heading2"/>
        <w:spacing w:before="300" w:after="180"/>
      </w:pPr>
      <w:r>
        <w:rPr>
          <w:rFonts w:ascii="Arial" w:cs="Arial" w:eastAsia="Arial" w:hAnsi="Arial"/>
          <w:b/>
          <w:bCs/>
          <w:color w:val="1B2A4A"/>
          <w:sz w:val="28"/>
          <w:szCs w:val="28"/>
        </w:rPr>
        <w:t xml:space="preserve">5.3 Grandfathering</w:t>
      </w:r>
    </w:p>
    <w:p>
      <w:pPr>
        <w:spacing w:after="160"/>
      </w:pPr>
      <w:r>
        <w:rPr>
          <w:rFonts w:ascii="Arial" w:cs="Arial" w:eastAsia="Arial" w:hAnsi="Arial"/>
          <w:color w:val="333333"/>
          <w:sz w:val="22"/>
          <w:szCs w:val="22"/>
        </w:rPr>
        <w:t xml:space="preserve">Multiple policy versions can coexist for the same institution. User A accepted policy v1. User B accepted policy v3. Both are active simultaneously. The institution's runtime enforces the correct policy version per user. The HSM's Security Enforcer evaluates the correct attribute set per branch.</w:t>
      </w:r>
    </w:p>
    <w:p>
      <w:r>
        <w:br w:type="page"/>
      </w:r>
    </w:p>
    <w:p>
      <w:pPr>
        <w:pStyle w:val="Heading1"/>
        <w:spacing w:before="400" w:after="200"/>
      </w:pPr>
      <w:r>
        <w:rPr>
          <w:rFonts w:ascii="Arial" w:cs="Arial" w:eastAsia="Arial" w:hAnsi="Arial"/>
          <w:b/>
          <w:bCs/>
          <w:color w:val="1B2A4A"/>
          <w:sz w:val="32"/>
          <w:szCs w:val="32"/>
        </w:rPr>
        <w:t xml:space="preserve">6. User-Consented Retention</w:t>
      </w:r>
    </w:p>
    <w:p>
      <w:pPr>
        <w:pStyle w:val="Heading2"/>
        <w:spacing w:before="300" w:after="180"/>
      </w:pPr>
      <w:r>
        <w:rPr>
          <w:rFonts w:ascii="Arial" w:cs="Arial" w:eastAsia="Arial" w:hAnsi="Arial"/>
          <w:b/>
          <w:bCs/>
          <w:color w:val="1B2A4A"/>
          <w:sz w:val="28"/>
          <w:szCs w:val="28"/>
        </w:rPr>
        <w:t xml:space="preserve">6.1 Principle</w:t>
      </w:r>
    </w:p>
    <w:p>
      <w:pPr>
        <w:spacing w:after="160"/>
      </w:pPr>
      <w:r>
        <w:rPr>
          <w:rFonts w:ascii="Arial" w:cs="Arial" w:eastAsia="Arial" w:hAnsi="Arial"/>
          <w:color w:val="333333"/>
          <w:sz w:val="22"/>
          <w:szCs w:val="22"/>
        </w:rPr>
        <w:t xml:space="preserve">The Bonafide protocol never overrides the user's consent. Whatever data an institution retains after lease revocation or account closure, the user agreed to when they accepted the branch policy. The protocol enforces what the user already consented to—nothing more.</w:t>
      </w:r>
    </w:p>
    <w:p>
      <w:pPr>
        <w:spacing w:after="160"/>
      </w:pPr>
      <w:r>
        <w:rPr>
          <w:rFonts w:ascii="Arial" w:cs="Arial" w:eastAsia="Arial" w:hAnsi="Arial"/>
          <w:color w:val="333333"/>
          <w:sz w:val="22"/>
          <w:szCs w:val="22"/>
        </w:rPr>
        <w:t xml:space="preserve">There is no protocol-granted regulatory lease. There is no mechanism for the protocol itself to extend institutional access beyond what the user originally accepted. If an institution needs to retain data for regulatory compliance, the policy must declare this up front, and the user must accept it before the relationship begins.</w:t>
      </w:r>
    </w:p>
    <w:p>
      <w:pPr>
        <w:pStyle w:val="Heading2"/>
        <w:spacing w:before="300" w:after="180"/>
      </w:pPr>
      <w:r>
        <w:rPr>
          <w:rFonts w:ascii="Arial" w:cs="Arial" w:eastAsia="Arial" w:hAnsi="Arial"/>
          <w:b/>
          <w:bCs/>
          <w:color w:val="1B2A4A"/>
          <w:sz w:val="28"/>
          <w:szCs w:val="28"/>
        </w:rPr>
        <w:t xml:space="preserve">6.2 Retention Mechanics</w:t>
      </w:r>
    </w:p>
    <w:p>
      <w:pPr>
        <w:spacing w:after="160"/>
      </w:pPr>
      <w:r>
        <w:rPr>
          <w:rFonts w:ascii="Arial" w:cs="Arial" w:eastAsia="Arial" w:hAnsi="Arial"/>
          <w:color w:val="333333"/>
          <w:sz w:val="22"/>
          <w:szCs w:val="22"/>
        </w:rPr>
        <w:t xml:space="preserve">When a lease is revoked, the protocol evaluates the branch policy's retention attributes for each data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Policy Attribute</w:t>
            </w:r>
          </w:p>
        </w:tc>
        <w:tc>
          <w:tcPr>
            <w:tcW w:type="dxa" w:w="2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Example Value</w:t>
            </w:r>
          </w:p>
        </w:tc>
        <w:tc>
          <w:tcPr>
            <w:tcW w:type="dxa" w:w="4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tcPr>
          <w:p>
            <w:r>
              <w:rPr>
                <w:rFonts w:ascii="Arial" w:cs="Arial" w:eastAsia="Arial" w:hAnsi="Arial"/>
                <w:b/>
                <w:bCs/>
                <w:color w:val="FFFFFF"/>
                <w:sz w:val="20"/>
                <w:szCs w:val="20"/>
              </w:rPr>
              <w:t xml:space="preserve">Protocol Action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on_revoke = purge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Immediate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Institutional DEK wrappings removed. Institution's copy becomes dead ciphertext immediately.</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on_revoke = purge(90)</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90-day grace</w:t>
            </w:r>
          </w:p>
        </w:tc>
        <w:tc>
          <w:tcPr>
            <w:tcW w:type="dxa" w:w="4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Institutional access continues for 90 days (for account settlement, final statements, etc.), then wrappings removed.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on_revoke = retain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Regulatory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Institutional access continues for retention.duration_days at retention.security_level. When retention expires, wrappings removed automatically.</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on_revoke = downgrade(12)</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Archival</w:t>
            </w:r>
          </w:p>
        </w:tc>
        <w:tc>
          <w:tcPr>
            <w:tcW w:type="dxa" w:w="4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color w:val="333333"/>
                <w:sz w:val="20"/>
                <w:szCs w:val="20"/>
              </w:rPr>
              <w:t xml:space="preserve">Security level elevated to 12. Access restricted to compliance-only operations. Lease continues under retention terms.</w:t>
            </w:r>
          </w:p>
        </w:tc>
      </w:tr>
    </w:tbl>
    <w:p>
      <w:pPr>
        <w:pStyle w:val="Heading2"/>
        <w:spacing w:before="300" w:after="180"/>
      </w:pPr>
      <w:r>
        <w:rPr>
          <w:rFonts w:ascii="Arial" w:cs="Arial" w:eastAsia="Arial" w:hAnsi="Arial"/>
          <w:b/>
          <w:bCs/>
          <w:color w:val="1B2A4A"/>
          <w:sz w:val="28"/>
          <w:szCs w:val="28"/>
        </w:rPr>
        <w:t xml:space="preserve">6.3 Retention Expiration</w:t>
      </w:r>
    </w:p>
    <w:p>
      <w:pPr>
        <w:spacing w:after="160"/>
      </w:pPr>
      <w:r>
        <w:rPr>
          <w:rFonts w:ascii="Arial" w:cs="Arial" w:eastAsia="Arial" w:hAnsi="Arial"/>
          <w:color w:val="333333"/>
          <w:sz w:val="22"/>
          <w:szCs w:val="22"/>
        </w:rPr>
        <w:t xml:space="preserve">When a retention period expires, the protocol automatically removes institutional DEK wrappings from the affected quanta. The institution may retain the ciphertext indefinitely—it is meaningless bits without the key. The expiration event is recorded in the ledger.</w:t>
      </w:r>
    </w:p>
    <w:p>
      <w:pPr>
        <w:spacing w:after="160"/>
      </w:pPr>
      <w:r>
        <w:rPr>
          <w:rFonts w:ascii="Arial" w:cs="Arial" w:eastAsia="Arial" w:hAnsi="Arial"/>
          <w:color w:val="333333"/>
          <w:sz w:val="22"/>
          <w:szCs w:val="22"/>
        </w:rPr>
        <w:t xml:space="preserve">The user's vault interface reflects the current state: which institutions hold active leases, which hold retention leases, and when each retention expires.</w:t>
      </w:r>
    </w:p>
    <w:p>
      <w:pPr>
        <w:pStyle w:val="Heading2"/>
        <w:spacing w:before="300" w:after="180"/>
      </w:pPr>
      <w:r>
        <w:rPr>
          <w:rFonts w:ascii="Arial" w:cs="Arial" w:eastAsia="Arial" w:hAnsi="Arial"/>
          <w:b/>
          <w:bCs/>
          <w:color w:val="1B2A4A"/>
          <w:sz w:val="28"/>
          <w:szCs w:val="28"/>
        </w:rPr>
        <w:t xml:space="preserve">6.4 User Visibility</w:t>
      </w:r>
    </w:p>
    <w:p>
      <w:pPr>
        <w:spacing w:after="160"/>
      </w:pPr>
      <w:r>
        <w:rPr>
          <w:rFonts w:ascii="Arial" w:cs="Arial" w:eastAsia="Arial" w:hAnsi="Arial"/>
          <w:color w:val="333333"/>
          <w:sz w:val="22"/>
          <w:szCs w:val="22"/>
        </w:rPr>
        <w:t xml:space="preserve">The branch policy declares which data categories are user-visible (data.&lt;category&gt;.user_visible = true). User-visible quanta can be synced to the user's private vault as read-only copies. The institution pushes user-visible quanta to the user's vault on a schedule or on demand. The user sees their PII, account summary, and statements in their own vault. The institution never opens an inbound channel. The user never reaches into the institution's infrastructure.</w:t>
      </w:r>
    </w:p>
    <w:p>
      <w:pPr>
        <w:spacing w:after="160"/>
      </w:pPr>
      <w:r>
        <w:rPr>
          <w:rFonts w:ascii="Arial" w:cs="Arial" w:eastAsia="Arial" w:hAnsi="Arial"/>
          <w:color w:val="333333"/>
          <w:sz w:val="22"/>
          <w:szCs w:val="22"/>
        </w:rPr>
        <w:t xml:space="preserve">Data the institution creates for its own operational purposes (internal risk scores, compliance flags, process artifacts) is not user-visible and is not governed by the Bonafide protocol. That is the institution's own data.</w:t>
      </w:r>
    </w:p>
    <w:p>
      <w:r>
        <w:br w:type="page"/>
      </w:r>
    </w:p>
    <w:p>
      <w:pPr>
        <w:pStyle w:val="Heading1"/>
        <w:spacing w:before="400" w:after="200"/>
      </w:pPr>
      <w:r>
        <w:rPr>
          <w:rFonts w:ascii="Arial" w:cs="Arial" w:eastAsia="Arial" w:hAnsi="Arial"/>
          <w:b/>
          <w:bCs/>
          <w:color w:val="1B2A4A"/>
          <w:sz w:val="32"/>
          <w:szCs w:val="32"/>
        </w:rPr>
        <w:t xml:space="preserve">7. Compliance Requirements</w:t>
      </w:r>
    </w:p>
    <w:p>
      <w:pPr>
        <w:pStyle w:val="Heading2"/>
        <w:spacing w:before="300" w:after="180"/>
      </w:pPr>
      <w:r>
        <w:rPr>
          <w:rFonts w:ascii="Arial" w:cs="Arial" w:eastAsia="Arial" w:hAnsi="Arial"/>
          <w:b/>
          <w:bCs/>
          <w:color w:val="1B2A4A"/>
          <w:sz w:val="28"/>
          <w:szCs w:val="28"/>
        </w:rPr>
        <w:t xml:space="preserve">7.1 Implementation Requirements</w:t>
      </w:r>
    </w:p>
    <w:p>
      <w:pPr>
        <w:spacing w:after="160"/>
      </w:pPr>
      <w:r>
        <w:rPr>
          <w:rFonts w:ascii="Arial" w:cs="Arial" w:eastAsia="Arial" w:hAnsi="Arial"/>
          <w:color w:val="333333"/>
          <w:sz w:val="22"/>
          <w:szCs w:val="22"/>
        </w:rPr>
        <w:t xml:space="preserve">A compliant Bonafide implementation must enforce the following:</w:t>
      </w:r>
    </w:p>
    <w:p>
      <w:pPr>
        <w:pStyle w:val="ListParagraph"/>
        <w:numPr>
          <w:ilvl w:val="0"/>
          <w:numId w:val="2"/>
        </w:numPr>
        <w:spacing w:after="100"/>
      </w:pPr>
      <w:r>
        <w:rPr>
          <w:rFonts w:ascii="Arial" w:cs="Arial" w:eastAsia="Arial" w:hAnsi="Arial"/>
          <w:b/>
          <w:bCs/>
          <w:i w:val="false"/>
          <w:iCs w:val="false"/>
          <w:color w:val="333333"/>
          <w:sz w:val="22"/>
          <w:szCs w:val="22"/>
        </w:rPr>
        <w:t xml:space="preserve">Lease enforcement: </w:t>
      </w:r>
      <w:r>
        <w:rPr>
          <w:rFonts w:ascii="Arial" w:cs="Arial" w:eastAsia="Arial" w:hAnsi="Arial"/>
          <w:b w:val="false"/>
          <w:bCs w:val="false"/>
          <w:i w:val="false"/>
          <w:iCs w:val="false"/>
          <w:color w:val="333333"/>
          <w:sz w:val="22"/>
          <w:szCs w:val="22"/>
        </w:rPr>
        <w:t xml:space="preserve">Institutional access must be lease-based with finite terms. Persistent institutional keys are non-compliant.</w:t>
      </w:r>
    </w:p>
    <w:p>
      <w:pPr>
        <w:pStyle w:val="ListParagraph"/>
        <w:numPr>
          <w:ilvl w:val="0"/>
          <w:numId w:val="2"/>
        </w:numPr>
        <w:spacing w:after="100"/>
      </w:pPr>
      <w:r>
        <w:rPr>
          <w:rFonts w:ascii="Arial" w:cs="Arial" w:eastAsia="Arial" w:hAnsi="Arial"/>
          <w:b/>
          <w:bCs/>
          <w:i w:val="false"/>
          <w:iCs w:val="false"/>
          <w:color w:val="333333"/>
          <w:sz w:val="22"/>
          <w:szCs w:val="22"/>
        </w:rPr>
        <w:t xml:space="preserve">Policy evaluation: </w:t>
      </w:r>
      <w:r>
        <w:rPr>
          <w:rFonts w:ascii="Arial" w:cs="Arial" w:eastAsia="Arial" w:hAnsi="Arial"/>
          <w:b w:val="false"/>
          <w:bCs w:val="false"/>
          <w:i w:val="false"/>
          <w:iCs w:val="false"/>
          <w:color w:val="333333"/>
          <w:sz w:val="22"/>
          <w:szCs w:val="22"/>
        </w:rPr>
        <w:t xml:space="preserve">The runtime must evaluate the branch policy's attribute set for every lease event and every access authorization. The runtime must reject operations that violate the policy.</w:t>
      </w:r>
    </w:p>
    <w:p>
      <w:pPr>
        <w:pStyle w:val="ListParagraph"/>
        <w:numPr>
          <w:ilvl w:val="0"/>
          <w:numId w:val="2"/>
        </w:numPr>
        <w:spacing w:after="100"/>
      </w:pPr>
      <w:r>
        <w:rPr>
          <w:rFonts w:ascii="Arial" w:cs="Arial" w:eastAsia="Arial" w:hAnsi="Arial"/>
          <w:b/>
          <w:bCs/>
          <w:i w:val="false"/>
          <w:iCs w:val="false"/>
          <w:color w:val="333333"/>
          <w:sz w:val="22"/>
          <w:szCs w:val="22"/>
        </w:rPr>
        <w:t xml:space="preserve">Constitutional enforcement: </w:t>
      </w:r>
      <w:r>
        <w:rPr>
          <w:rFonts w:ascii="Arial" w:cs="Arial" w:eastAsia="Arial" w:hAnsi="Arial"/>
          <w:b w:val="false"/>
          <w:bCs w:val="false"/>
          <w:i w:val="false"/>
          <w:iCs w:val="false"/>
          <w:color w:val="333333"/>
          <w:sz w:val="22"/>
          <w:szCs w:val="22"/>
        </w:rPr>
        <w:t xml:space="preserve">The runtime must reject any policy that violates the constitutional minimums (Section 3.2), regardless of what the institution publishes.</w:t>
      </w:r>
    </w:p>
    <w:p>
      <w:pPr>
        <w:pStyle w:val="ListParagraph"/>
        <w:numPr>
          <w:ilvl w:val="0"/>
          <w:numId w:val="2"/>
        </w:numPr>
        <w:spacing w:after="100"/>
      </w:pPr>
      <w:r>
        <w:rPr>
          <w:rFonts w:ascii="Arial" w:cs="Arial" w:eastAsia="Arial" w:hAnsi="Arial"/>
          <w:b/>
          <w:bCs/>
          <w:i w:val="false"/>
          <w:iCs w:val="false"/>
          <w:color w:val="333333"/>
          <w:sz w:val="22"/>
          <w:szCs w:val="22"/>
        </w:rPr>
        <w:t xml:space="preserve">Ledger recording: </w:t>
      </w:r>
      <w:r>
        <w:rPr>
          <w:rFonts w:ascii="Arial" w:cs="Arial" w:eastAsia="Arial" w:hAnsi="Arial"/>
          <w:b w:val="false"/>
          <w:bCs w:val="false"/>
          <w:i w:val="false"/>
          <w:iCs w:val="false"/>
          <w:color w:val="333333"/>
          <w:sz w:val="22"/>
          <w:szCs w:val="22"/>
        </w:rPr>
        <w:t xml:space="preserve">Every lease event and policy acceptance must be recorded in the immutable ledger with cryptographic proof.</w:t>
      </w:r>
    </w:p>
    <w:p>
      <w:pPr>
        <w:pStyle w:val="ListParagraph"/>
        <w:numPr>
          <w:ilvl w:val="0"/>
          <w:numId w:val="2"/>
        </w:numPr>
        <w:spacing w:after="100"/>
      </w:pPr>
      <w:r>
        <w:rPr>
          <w:rFonts w:ascii="Arial" w:cs="Arial" w:eastAsia="Arial" w:hAnsi="Arial"/>
          <w:b/>
          <w:bCs/>
          <w:i w:val="false"/>
          <w:iCs w:val="false"/>
          <w:color w:val="333333"/>
          <w:sz w:val="22"/>
          <w:szCs w:val="22"/>
        </w:rPr>
        <w:t xml:space="preserve">Transfer protocol: </w:t>
      </w:r>
      <w:r>
        <w:rPr>
          <w:rFonts w:ascii="Arial" w:cs="Arial" w:eastAsia="Arial" w:hAnsi="Arial"/>
          <w:b w:val="false"/>
          <w:bCs w:val="false"/>
          <w:i w:val="false"/>
          <w:iCs w:val="false"/>
          <w:color w:val="333333"/>
          <w:sz w:val="22"/>
          <w:szCs w:val="22"/>
        </w:rPr>
        <w:t xml:space="preserve">The runtime must implement the full transfer flow (Section 4.2) including default-on-silence rejection.</w:t>
      </w:r>
    </w:p>
    <w:p>
      <w:pPr>
        <w:pStyle w:val="ListParagraph"/>
        <w:numPr>
          <w:ilvl w:val="0"/>
          <w:numId w:val="2"/>
        </w:numPr>
        <w:spacing w:after="100"/>
      </w:pPr>
      <w:r>
        <w:rPr>
          <w:rFonts w:ascii="Arial" w:cs="Arial" w:eastAsia="Arial" w:hAnsi="Arial"/>
          <w:b/>
          <w:bCs/>
          <w:i w:val="false"/>
          <w:iCs w:val="false"/>
          <w:color w:val="333333"/>
          <w:sz w:val="22"/>
          <w:szCs w:val="22"/>
        </w:rPr>
        <w:t xml:space="preserve">Retention enforcement: </w:t>
      </w:r>
      <w:r>
        <w:rPr>
          <w:rFonts w:ascii="Arial" w:cs="Arial" w:eastAsia="Arial" w:hAnsi="Arial"/>
          <w:b w:val="false"/>
          <w:bCs w:val="false"/>
          <w:i w:val="false"/>
          <w:iCs w:val="false"/>
          <w:color w:val="333333"/>
          <w:sz w:val="22"/>
          <w:szCs w:val="22"/>
        </w:rPr>
        <w:t xml:space="preserve">The runtime must automatically remove DEK wrappings when retention periods expire.</w:t>
      </w:r>
    </w:p>
    <w:p>
      <w:pPr>
        <w:pStyle w:val="Heading2"/>
        <w:spacing w:before="300" w:after="180"/>
      </w:pPr>
      <w:r>
        <w:rPr>
          <w:rFonts w:ascii="Arial" w:cs="Arial" w:eastAsia="Arial" w:hAnsi="Arial"/>
          <w:b/>
          <w:bCs/>
          <w:color w:val="1B2A4A"/>
          <w:sz w:val="28"/>
          <w:szCs w:val="28"/>
        </w:rPr>
        <w:t xml:space="preserve">7.2 Hardware Enforcement</w:t>
      </w:r>
    </w:p>
    <w:p>
      <w:pPr>
        <w:spacing w:after="160"/>
      </w:pPr>
      <w:r>
        <w:rPr>
          <w:rFonts w:ascii="Arial" w:cs="Arial" w:eastAsia="Arial" w:hAnsi="Arial"/>
          <w:color w:val="333333"/>
          <w:sz w:val="22"/>
          <w:szCs w:val="22"/>
        </w:rPr>
        <w:t xml:space="preserve">On Classification S deployments, the branch policy's binary attribute set is loaded into the HSM's Security Enforcer IP block. The enforcer evaluates policy attributes as hardware gate conditions: integer comparisons, boolean checks, and enum lookups against FPGA block RAM lookup tables. Policy enforcement in silicon cannot be bypassed by host OS compromise.</w:t>
      </w:r>
    </w:p>
    <w:p>
      <w:pPr>
        <w:spacing w:after="160"/>
      </w:pPr>
      <w:r>
        <w:rPr>
          <w:rFonts w:ascii="Arial" w:cs="Arial" w:eastAsia="Arial" w:hAnsi="Arial"/>
          <w:color w:val="333333"/>
          <w:sz w:val="22"/>
          <w:szCs w:val="22"/>
        </w:rPr>
        <w:t xml:space="preserve">The Bonafide HSM Reference Design (separate document) specifies the binary policy format, the loading protocol, and the formal verification requirements for the Security Enforcer block.</w:t>
      </w:r>
    </w:p>
    <w:p>
      <w:pPr>
        <w:pStyle w:val="Heading2"/>
        <w:spacing w:before="300" w:after="180"/>
      </w:pPr>
      <w:r>
        <w:rPr>
          <w:rFonts w:ascii="Arial" w:cs="Arial" w:eastAsia="Arial" w:hAnsi="Arial"/>
          <w:b/>
          <w:bCs/>
          <w:color w:val="1B2A4A"/>
          <w:sz w:val="28"/>
          <w:szCs w:val="28"/>
        </w:rPr>
        <w:t xml:space="preserve">7.3 Software Enforcement</w:t>
      </w:r>
    </w:p>
    <w:p>
      <w:pPr>
        <w:spacing w:after="160"/>
      </w:pPr>
      <w:r>
        <w:rPr>
          <w:rFonts w:ascii="Arial" w:cs="Arial" w:eastAsia="Arial" w:hAnsi="Arial"/>
          <w:color w:val="333333"/>
          <w:sz w:val="22"/>
          <w:szCs w:val="22"/>
        </w:rPr>
        <w:t xml:space="preserve">On Classification A, B, and C deployments, the Bonafide runtime enforces policies in software. The runtime evaluates the same attribute set using the same logic—the difference is the trust boundary. Software enforcement is correct but can be bypassed by compromising the host. Hardware enforcement is correct and tamper-resistant.</w:t>
      </w:r>
    </w:p>
    <w:p>
      <w:pPr>
        <w:spacing w:after="400"/>
      </w:pPr>
    </w:p>
    <w:p>
      <w:pPr>
        <w:pBdr>
          <w:top w:val="single" w:color="CCCCCC" w:sz="1" w:space="4"/>
        </w:pBdr>
        <w:spacing w:before="200"/>
      </w:pPr>
      <w:r>
        <w:rPr>
          <w:rFonts w:ascii="Arial" w:cs="Arial" w:eastAsia="Arial" w:hAnsi="Arial"/>
          <w:b/>
          <w:bCs/>
          <w:color w:val="1B2A4A"/>
          <w:sz w:val="20"/>
          <w:szCs w:val="20"/>
        </w:rPr>
        <w:t xml:space="preserve">Bonafide™ — Privacy by architecture, not by promise.</w:t>
      </w:r>
    </w:p>
    <w:p>
      <w:pPr>
        <w:spacing w:after="80"/>
      </w:pPr>
    </w:p>
    <w:p>
      <w:pPr>
        <w:spacing w:after="160"/>
      </w:pPr>
      <w:r>
        <w:rPr>
          <w:rFonts w:ascii="Arial" w:cs="Arial" w:eastAsia="Arial" w:hAnsi="Arial"/>
          <w:color w:val="333333"/>
          <w:sz w:val="22"/>
          <w:szCs w:val="22"/>
        </w:rPr>
        <w:t xml:space="preserve">An open specification by Sly Technologies Inc.  |  bonafide.id  |  bonafideid.org</w:t>
      </w:r>
    </w:p>
    <w:p>
      <w:pPr>
        <w:spacing w:after="160"/>
      </w:pPr>
      <w:r>
        <w:rPr>
          <w:rFonts w:ascii="Arial" w:cs="Arial" w:eastAsia="Arial" w:hAnsi="Arial"/>
          <w:color w:val="333333"/>
          <w:sz w:val="22"/>
          <w:szCs w:val="22"/>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360"/>
      </w:tabs>
    </w:pPr>
    <w:r>
      <w:rPr>
        <w:rFonts w:ascii="Arial" w:cs="Arial" w:eastAsia="Arial" w:hAnsi="Arial"/>
        <w:color w:val="666666"/>
        <w:sz w:val="16"/>
        <w:szCs w:val="16"/>
      </w:rPr>
      <w:t xml:space="preserve">Confidential — Sly Technologies Inc.</w:t>
    </w:r>
    <w:r>
      <w:rPr>
        <w:rFonts w:ascii="Arial" w:cs="Arial" w:eastAsia="Arial" w:hAnsi="Arial"/>
        <w:color w:val="2E75B6"/>
        <w:sz w:val="16"/>
        <w:szCs w:val="16"/>
      </w:rPr>
      <w:t xml:space="preserve">	bonafide.id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tabs>
        <w:tab w:val="right" w:pos="9360"/>
      </w:tabs>
    </w:pPr>
    <w:r>
      <w:rPr>
        <w:rFonts w:ascii="Arial" w:cs="Arial" w:eastAsia="Arial" w:hAnsi="Arial"/>
        <w:b/>
        <w:bCs/>
        <w:color w:val="2E75B6"/>
        <w:sz w:val="16"/>
        <w:szCs w:val="16"/>
      </w:rPr>
      <w:t xml:space="preserve">Bonafide™ Specification V1.0 — Part 14</w:t>
    </w:r>
    <w:r>
      <w:rPr>
        <w:rFonts w:ascii="Arial" w:cs="Arial" w:eastAsia="Arial" w:hAnsi="Arial"/>
        <w:color w:val="666666"/>
        <w:sz w:val="16"/>
        <w:szCs w:val="16"/>
      </w:rPr>
      <w:t xml:space="preserve">	Institutional Branches, Leases &amp;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B2A4A"/>
      <w:sz w:val="32"/>
      <w:szCs w:val="32"/>
    </w:rPr>
  </w:style>
  <w:style w:type="paragraph" w:styleId="Heading2">
    <w:name w:val="Heading 2"/>
    <w:basedOn w:val="Normal"/>
    <w:next w:val="Normal"/>
    <w:qFormat/>
    <w:pPr>
      <w:spacing w:before="300" w:after="180"/>
      <w:outlineLvl w:val="1"/>
    </w:pPr>
    <w:rPr>
      <w:rFonts w:ascii="Arial" w:cs="Arial" w:eastAsia="Arial" w:hAnsi="Arial"/>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2026-02-22T15:29:58.105Z</dcterms:created>
  <dcterms:modified xsi:type="dcterms:W3CDTF">2026-02-22T15:29:58.106Z</dcterms:modified>
</cp:coreProperties>
</file>

<file path=docProps/custom.xml><?xml version="1.0" encoding="utf-8"?>
<Properties xmlns="http://schemas.openxmlformats.org/officeDocument/2006/custom-properties" xmlns:vt="http://schemas.openxmlformats.org/officeDocument/2006/docPropsVTypes"/>
</file>