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28"/>
          <w:szCs w:val="28"/>
        </w:rPr>
        <w:t xml:space="preserve">BONAFIDE™ SPECIFICATION V1.0 — PART 9</w:t>
      </w:r>
    </w:p>
    <w:p>
      <w:pPr>
        <w:spacing w:after="40"/>
      </w:pPr>
      <w:r>
        <w:rPr>
          <w:rFonts w:ascii="Arial" w:cs="Arial" w:eastAsia="Arial" w:hAnsi="Arial"/>
          <w:b/>
          <w:bCs/>
          <w:color w:val="1F4E79"/>
          <w:sz w:val="44"/>
          <w:szCs w:val="44"/>
        </w:rPr>
        <w:t xml:space="preserve">Network Security &amp; Abuse Prevention</w:t>
      </w:r>
    </w:p>
    <w:p>
      <w:pPr>
        <w:pBdr>
          <w:bottom w:val="single" w:color="1F4E79" w:sz="8" w:space="1"/>
        </w:pBdr>
        <w:spacing w:after="40"/>
      </w:pPr>
    </w:p>
    <w:p>
      <w:pPr>
        <w:spacing w:after="140"/>
      </w:pPr>
      <w:r>
        <w:rPr>
          <w:rFonts w:ascii="Arial" w:cs="Arial" w:eastAsia="Arial" w:hAnsi="Arial"/>
          <w:i/>
          <w:iCs/>
          <w:color w:val="666666"/>
          <w:sz w:val="22"/>
          <w:szCs w:val="22"/>
        </w:rPr>
        <w:t xml:space="preserve">Threat model, transport security with mTLS, client attestation, DoS defense, validator network protection, relay abuse prevention, traffic analysis resistance, and incident response</w:t>
      </w:r>
    </w:p>
    <w:p>
      <w:pPr>
        <w:spacing w:after="100"/>
      </w:pPr>
    </w:p>
    <w:p>
      <w:pPr>
        <w:pStyle w:val="Heading1"/>
      </w:pPr>
      <w:r>
        <w:rPr>
          <w:rFonts w:ascii="Arial" w:cs="Arial" w:eastAsia="Arial" w:hAnsi="Arial"/>
        </w:rPr>
        <w:t xml:space="preserve">1. Purpose</w:t>
      </w:r>
    </w:p>
    <w:p>
      <w:pPr>
        <w:spacing w:after="140"/>
      </w:pPr>
      <w:r>
        <w:rPr>
          <w:rFonts w:ascii="Arial" w:cs="Arial" w:eastAsia="Arial" w:hAnsi="Arial"/>
          <w:sz w:val="22"/>
          <w:szCs w:val="22"/>
        </w:rPr>
        <w:t xml:space="preserve">This part defines the network security architecture: how the Bonafide network defends against attackers ranging from script kiddies to nation-states, how transport is secured, how denial-of-service is mitigated, how the validator network is protected, how traffic analysis is resisted, and how incidents are detected and resolved.</w:t>
      </w:r>
    </w:p>
    <w:p>
      <w:r>
        <w:br w:type="page"/>
      </w:r>
    </w:p>
    <w:p>
      <w:pPr>
        <w:pStyle w:val="Heading1"/>
      </w:pPr>
      <w:r>
        <w:rPr>
          <w:rFonts w:ascii="Arial" w:cs="Arial" w:eastAsia="Arial" w:hAnsi="Arial"/>
        </w:rPr>
        <w:t xml:space="preserve">2. Threat Model</w:t>
      </w:r>
    </w:p>
    <w:p>
      <w:pPr>
        <w:pStyle w:val="Heading2"/>
      </w:pPr>
      <w:r>
        <w:rPr>
          <w:rFonts w:ascii="Arial" w:cs="Arial" w:eastAsia="Arial" w:hAnsi="Arial"/>
        </w:rPr>
        <w:t xml:space="preserve">2.1 Attacker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39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Capability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Defense Layer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Opportunistic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scanning, known exploits, credential stuffing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Mass compromise for profit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Transport security, rate limiting, device attestation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Targeted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tooling, social engineering, persistent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Specific user’s data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Per-quantum encryption, blind validation, key ephemerality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Insider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Privileged access to institutional infrastructure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exfiltration from a specific institution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abstraction, enclave isolation, forensic watermarking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Traffic interception, man-in-the-middle, DNS manipulation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hijack, metadata collection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mTLS, certificate pinning, traffic analysis resistance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Nation-state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Unlimited resources, legal coercion, infrastructure compromise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Bulk surveillance, targeted access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Content neutrality, stateless derivation, compliance profiles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Coercive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Physical access to user, legal or illegal compulsion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Force user to reveal vault contents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Duress personas, plausible deniability, silent alerts</w:t>
            </w:r>
          </w:p>
        </w:tc>
      </w:tr>
    </w:tbl>
    <w:p>
      <w:pPr>
        <w:spacing w:after="100"/>
      </w:pPr>
    </w:p>
    <w:p>
      <w:pPr>
        <w:pStyle w:val="Heading2"/>
      </w:pPr>
      <w:r>
        <w:rPr>
          <w:rFonts w:ascii="Arial" w:cs="Arial" w:eastAsia="Arial" w:hAnsi="Arial"/>
        </w:rPr>
        <w:t xml:space="preserve">2.2 Defense-in-Depth</w:t>
      </w:r>
    </w:p>
    <w:p>
      <w:pPr>
        <w:spacing w:after="140"/>
      </w:pPr>
      <w:r>
        <w:rPr>
          <w:rFonts w:ascii="Arial" w:cs="Arial" w:eastAsia="Arial" w:hAnsi="Arial"/>
          <w:sz w:val="22"/>
          <w:szCs w:val="22"/>
        </w:rPr>
        <w:t xml:space="preserve">No single layer defeats all attackers. Bonafide’s network security is layered: transport security prevents interception, client authentication prevents unauthorized access, session integrity prevents replay and hijacking, DoS defense prevents resource exhaustion, validator protection prevents consensus manipulation, and traffic analysis resistance prevents metadata leakage. Each layer operates independently—failure of one does not compromise the others.</w:t>
      </w:r>
    </w:p>
    <w:p>
      <w:r>
        <w:br w:type="page"/>
      </w:r>
    </w:p>
    <w:p>
      <w:pPr>
        <w:pStyle w:val="Heading1"/>
      </w:pPr>
      <w:r>
        <w:rPr>
          <w:rFonts w:ascii="Arial" w:cs="Arial" w:eastAsia="Arial" w:hAnsi="Arial"/>
        </w:rPr>
        <w:t xml:space="preserve">3. Transport Security</w:t>
      </w:r>
    </w:p>
    <w:p>
      <w:pPr>
        <w:pStyle w:val="Heading2"/>
      </w:pPr>
      <w:r>
        <w:rPr>
          <w:rFonts w:ascii="Arial" w:cs="Arial" w:eastAsia="Arial" w:hAnsi="Arial"/>
        </w:rPr>
        <w:t xml:space="preserve">3.1 Mutual TLS Everywhere</w:t>
      </w:r>
    </w:p>
    <w:p>
      <w:pPr>
        <w:spacing w:after="140"/>
      </w:pPr>
      <w:r>
        <w:rPr>
          <w:rFonts w:ascii="Arial" w:cs="Arial" w:eastAsia="Arial" w:hAnsi="Arial"/>
          <w:sz w:val="22"/>
          <w:szCs w:val="22"/>
        </w:rPr>
        <w:t xml:space="preserve">All Bonafide network traffic uses mutual TLS (mTLS). Both client and server authenticate with certificates. There are no anonymous connections. Every participant—user device, institution, validator, relay—presents a certificate issued by the Bonafide certificate authority (ca.bonafide.id) or by a certified subordinate CA.</w:t>
      </w:r>
    </w:p>
    <w:p>
      <w:pPr>
        <w:pStyle w:val="Heading2"/>
      </w:pPr>
      <w:r>
        <w:rPr>
          <w:rFonts w:ascii="Arial" w:cs="Arial" w:eastAsia="Arial" w:hAnsi="Arial"/>
        </w:rPr>
        <w:t xml:space="preserve">3.2 TLS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Minimum 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TLS 1.3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Cipher suites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AEAD only: AES-256-GCM with SHA-384, CHACHA20-POLY1305 with SHA-256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exchange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X25519 or X448 (ECDHE only, no static key exchange)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Certificate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X.509v3 with Ed25519 or ECDSA P-384 signatures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Certificate pinning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for all long-lived connections (device-to-cloud, institution-to-cloud)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OCSP stapling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for all server certificates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resumption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TLS 1.3 PSK mode with 0-RTT disabled (prevents replay)</w:t>
            </w:r>
          </w:p>
        </w:tc>
      </w:tr>
    </w:tbl>
    <w:p>
      <w:pPr>
        <w:spacing w:after="100"/>
      </w:pPr>
    </w:p>
    <w:p>
      <w:pPr>
        <w:pStyle w:val="Heading2"/>
      </w:pPr>
      <w:r>
        <w:rPr>
          <w:rFonts w:ascii="Arial" w:cs="Arial" w:eastAsia="Arial" w:hAnsi="Arial"/>
        </w:rPr>
        <w:t xml:space="preserve">3.3 Certificate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Participant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Certificate Issuer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Lifetime</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Revocation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device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ca.bonafide.id (device enrollment)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year, auto-renewed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Immediate on device deauthorization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Institution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ca.bonafide.id (certification)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year, re-certification required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Immediate on certification revocation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ca.bonafide.id (validator certification)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year, re-certification required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Immediate on score drop below threshold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Relay operator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ca.bonafide.id (relay certification)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year, re-certification required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Immediate on certification revocation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Bonafide Cloud services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ca.bonafide.id (infrastructure)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 days, auto-renewed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 CRL/OCSP</w:t>
            </w:r>
          </w:p>
        </w:tc>
      </w:tr>
    </w:tbl>
    <w:p>
      <w:pPr>
        <w:spacing w:after="100"/>
      </w:pPr>
    </w:p>
    <w:p>
      <w:pPr>
        <w:pStyle w:val="Heading2"/>
      </w:pPr>
      <w:r>
        <w:rPr>
          <w:rFonts w:ascii="Arial" w:cs="Arial" w:eastAsia="Arial" w:hAnsi="Arial"/>
        </w:rPr>
        <w:t xml:space="preserve">3.4 Hardware-Accelerated TLS</w:t>
      </w:r>
    </w:p>
    <w:p>
      <w:pPr>
        <w:spacing w:after="140"/>
      </w:pPr>
      <w:r>
        <w:rPr>
          <w:rFonts w:ascii="Arial" w:cs="Arial" w:eastAsia="Arial" w:hAnsi="Arial"/>
          <w:sz w:val="22"/>
          <w:szCs w:val="22"/>
        </w:rPr>
        <w:t xml:space="preserve">On ExaForge FPGA deployments and SmartNIC/DPU deployments, TLS termination occurs in hardware. Unauthorized connections are rejected at wire speed before reaching the host CPU. This provides both performance (the host CPU handles only authenticated traffic) and security (the attack surface for DoS is the hardware TLS engine, which is purpose-built for rejection throughput).</w:t>
      </w:r>
    </w:p>
    <w:p>
      <w:r>
        <w:br w:type="page"/>
      </w:r>
    </w:p>
    <w:p>
      <w:pPr>
        <w:pStyle w:val="Heading1"/>
      </w:pPr>
      <w:r>
        <w:rPr>
          <w:rFonts w:ascii="Arial" w:cs="Arial" w:eastAsia="Arial" w:hAnsi="Arial"/>
        </w:rPr>
        <w:t xml:space="preserve">4. Client Authentication</w:t>
      </w:r>
    </w:p>
    <w:p>
      <w:pPr>
        <w:pStyle w:val="Heading2"/>
      </w:pPr>
      <w:r>
        <w:rPr>
          <w:rFonts w:ascii="Arial" w:cs="Arial" w:eastAsia="Arial" w:hAnsi="Arial"/>
        </w:rPr>
        <w:t xml:space="preserve">4.1 Device Attestation</w:t>
      </w:r>
    </w:p>
    <w:p>
      <w:pPr>
        <w:spacing w:after="140"/>
      </w:pPr>
      <w:r>
        <w:rPr>
          <w:rFonts w:ascii="Arial" w:cs="Arial" w:eastAsia="Arial" w:hAnsi="Arial"/>
          <w:sz w:val="22"/>
          <w:szCs w:val="22"/>
        </w:rPr>
        <w:t xml:space="preserve">Every client connection requires device attestation: cryptographic proof that the connecting device has a secure element of the claimed enclave tier, the secure element has not been tampered with, and the device’s software environment is in a known-good state.</w:t>
      </w:r>
    </w:p>
    <w:p>
      <w:pPr>
        <w:spacing w:after="140"/>
      </w:pPr>
      <w:r>
        <w:rPr>
          <w:rFonts w:ascii="Arial" w:cs="Arial" w:eastAsia="Arial" w:hAnsi="Arial"/>
          <w:sz w:val="22"/>
          <w:szCs w:val="22"/>
        </w:rPr>
        <w:t xml:space="preserve">Attestation methods by enclave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Attestation Method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Verification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S (FPGA)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FPGA bitstream attestation + PUF challenge-response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Verified by validator network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 (Dedicated 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Apple SEP / Google Titan M2 / Samsung Knox attestation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Verified against manufacturer root of trust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 (TEE)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SGX/TDX/SEV-SNP/TrustZone remote attestation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Verified against platform attestation service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3 (TPM)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TPM 2.0 remote attestation (EK + AIK)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Verified against TPM manufacturer CA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4 (Software)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Software environment report (limited trust)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Verified by cloud service, restricted capabilities</w:t>
            </w:r>
          </w:p>
        </w:tc>
      </w:tr>
    </w:tbl>
    <w:p>
      <w:pPr>
        <w:spacing w:after="100"/>
      </w:pPr>
    </w:p>
    <w:p>
      <w:pPr>
        <w:pStyle w:val="Heading2"/>
      </w:pPr>
      <w:r>
        <w:rPr>
          <w:rFonts w:ascii="Arial" w:cs="Arial" w:eastAsia="Arial" w:hAnsi="Arial"/>
        </w:rPr>
        <w:t xml:space="preserve">4.2 Guest Enclave Restrictions</w:t>
      </w:r>
    </w:p>
    <w:p>
      <w:pPr>
        <w:spacing w:after="140"/>
      </w:pPr>
      <w:r>
        <w:rPr>
          <w:rFonts w:ascii="Arial" w:cs="Arial" w:eastAsia="Arial" w:hAnsi="Arial"/>
          <w:sz w:val="22"/>
          <w:szCs w:val="22"/>
        </w:rPr>
        <w:t xml:space="preserve">Devices without a recognized secure element can connect through the guest enclave with restricted capabilities: limited to Level 0–1 data access, limited session duration (24 hours), no key caching, and no institutional peering. Guest enclave access is the onramp for new users and the fallback for unrecognized devices.</w:t>
      </w:r>
    </w:p>
    <w:p>
      <w:r>
        <w:br w:type="page"/>
      </w:r>
    </w:p>
    <w:p>
      <w:pPr>
        <w:pStyle w:val="Heading1"/>
      </w:pPr>
      <w:r>
        <w:rPr>
          <w:rFonts w:ascii="Arial" w:cs="Arial" w:eastAsia="Arial" w:hAnsi="Arial"/>
        </w:rPr>
        <w:t xml:space="preserve">5. DoS Defense</w:t>
      </w:r>
    </w:p>
    <w:p>
      <w:pPr>
        <w:pStyle w:val="Heading2"/>
      </w:pPr>
      <w:r>
        <w:rPr>
          <w:rFonts w:ascii="Arial" w:cs="Arial" w:eastAsia="Arial" w:hAnsi="Arial"/>
        </w:rPr>
        <w:t xml:space="preserve">5.1 Tiered Capacity Architecture</w:t>
      </w:r>
    </w:p>
    <w:p>
      <w:pPr>
        <w:spacing w:after="140"/>
      </w:pPr>
      <w:r>
        <w:rPr>
          <w:rFonts w:ascii="Arial" w:cs="Arial" w:eastAsia="Arial" w:hAnsi="Arial"/>
          <w:sz w:val="22"/>
          <w:szCs w:val="22"/>
        </w:rPr>
        <w:t xml:space="preserve">Bonafide isolates traffic into five capacity tiers with independent resource pools. Exhausting one tier does not affect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Traffic Type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Protection</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Authenticated vault operations from enrolled devices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resources, no throttle unless abuse detected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Highest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Institutional runtime operations with valid certificates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Dedicated pool, rate-limited per institution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Validator consensus traffic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Isolated network, priority routing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Third-party access (share links, verifications)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Rate-limited per authorization, resource-capped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Unauthenticated (guest enclave, discovery, public endpoints)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Proof-of-work required, heavily rate-limited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Lowest</w:t>
            </w:r>
          </w:p>
        </w:tc>
      </w:tr>
    </w:tbl>
    <w:p>
      <w:pPr>
        <w:spacing w:after="100"/>
      </w:pPr>
    </w:p>
    <w:p>
      <w:pPr>
        <w:pStyle w:val="Heading2"/>
      </w:pPr>
      <w:r>
        <w:rPr>
          <w:rFonts w:ascii="Arial" w:cs="Arial" w:eastAsia="Arial" w:hAnsi="Arial"/>
        </w:rPr>
        <w:t xml:space="preserve">5.2 Connection-Level Defenses</w:t>
      </w:r>
    </w:p>
    <w:p>
      <w:pPr>
        <w:pStyle w:val="ListParagraph"/>
        <w:numPr>
          <w:ilvl w:val="0"/>
          <w:numId w:val="2"/>
        </w:numPr>
        <w:spacing w:after="80"/>
      </w:pPr>
      <w:r>
        <w:rPr>
          <w:rFonts w:ascii="Arial" w:cs="Arial" w:eastAsia="Arial" w:hAnsi="Arial"/>
          <w:b/>
          <w:bCs/>
          <w:sz w:val="22"/>
          <w:szCs w:val="22"/>
        </w:rPr>
        <w:t xml:space="preserve">SYN cookies: </w:t>
      </w:r>
      <w:r>
        <w:rPr>
          <w:rFonts w:ascii="Arial" w:cs="Arial" w:eastAsia="Arial" w:hAnsi="Arial"/>
          <w:sz w:val="22"/>
          <w:szCs w:val="22"/>
        </w:rPr>
        <w:t xml:space="preserve">TCP SYN flood protection without state allocation for incomplete handshakes.</w:t>
      </w:r>
    </w:p>
    <w:p>
      <w:pPr>
        <w:pStyle w:val="ListParagraph"/>
        <w:numPr>
          <w:ilvl w:val="0"/>
          <w:numId w:val="2"/>
        </w:numPr>
        <w:spacing w:after="80"/>
      </w:pPr>
      <w:r>
        <w:rPr>
          <w:rFonts w:ascii="Arial" w:cs="Arial" w:eastAsia="Arial" w:hAnsi="Arial"/>
          <w:b/>
          <w:bCs/>
          <w:sz w:val="22"/>
          <w:szCs w:val="22"/>
        </w:rPr>
        <w:t xml:space="preserve">TLS handshake timeout: </w:t>
      </w:r>
      <w:r>
        <w:rPr>
          <w:rFonts w:ascii="Arial" w:cs="Arial" w:eastAsia="Arial" w:hAnsi="Arial"/>
          <w:sz w:val="22"/>
          <w:szCs w:val="22"/>
        </w:rPr>
        <w:t xml:space="preserve">Incomplete TLS handshakes are terminated after 5 seconds, preventing slowloris-style attacks.</w:t>
      </w:r>
    </w:p>
    <w:p>
      <w:pPr>
        <w:pStyle w:val="ListParagraph"/>
        <w:numPr>
          <w:ilvl w:val="0"/>
          <w:numId w:val="2"/>
        </w:numPr>
        <w:spacing w:after="80"/>
      </w:pPr>
      <w:r>
        <w:rPr>
          <w:rFonts w:ascii="Arial" w:cs="Arial" w:eastAsia="Arial" w:hAnsi="Arial"/>
          <w:b/>
          <w:bCs/>
          <w:sz w:val="22"/>
          <w:szCs w:val="22"/>
        </w:rPr>
        <w:t xml:space="preserve">Certificate validation before resource allocation: </w:t>
      </w:r>
      <w:r>
        <w:rPr>
          <w:rFonts w:ascii="Arial" w:cs="Arial" w:eastAsia="Arial" w:hAnsi="Arial"/>
          <w:sz w:val="22"/>
          <w:szCs w:val="22"/>
        </w:rPr>
        <w:t xml:space="preserve">No application-layer resources are allocated until the client presents a valid certificate. Invalid or missing certificates result in immediate connection termination.</w:t>
      </w:r>
    </w:p>
    <w:p>
      <w:pPr>
        <w:pStyle w:val="ListParagraph"/>
        <w:numPr>
          <w:ilvl w:val="0"/>
          <w:numId w:val="2"/>
        </w:numPr>
        <w:spacing w:after="80"/>
      </w:pPr>
      <w:r>
        <w:rPr>
          <w:rFonts w:ascii="Arial" w:cs="Arial" w:eastAsia="Arial" w:hAnsi="Arial"/>
          <w:b/>
          <w:bCs/>
          <w:sz w:val="22"/>
          <w:szCs w:val="22"/>
        </w:rPr>
        <w:t xml:space="preserve">Anycast distribution: </w:t>
      </w:r>
      <w:r>
        <w:rPr>
          <w:rFonts w:ascii="Arial" w:cs="Arial" w:eastAsia="Arial" w:hAnsi="Arial"/>
          <w:sz w:val="22"/>
          <w:szCs w:val="22"/>
        </w:rPr>
        <w:t xml:space="preserve">API endpoints are anycast across multiple regions, distributing traffic geographically and providing automatic failover.</w:t>
      </w:r>
    </w:p>
    <w:p>
      <w:pPr>
        <w:pStyle w:val="Heading2"/>
      </w:pPr>
      <w:r>
        <w:rPr>
          <w:rFonts w:ascii="Arial" w:cs="Arial" w:eastAsia="Arial" w:hAnsi="Arial"/>
        </w:rPr>
        <w:t xml:space="preserve">5.3 Application-Level Defenses</w:t>
      </w:r>
    </w:p>
    <w:p>
      <w:pPr>
        <w:pStyle w:val="ListParagraph"/>
        <w:numPr>
          <w:ilvl w:val="0"/>
          <w:numId w:val="2"/>
        </w:numPr>
        <w:spacing w:after="80"/>
      </w:pPr>
      <w:r>
        <w:rPr>
          <w:rFonts w:ascii="Arial" w:cs="Arial" w:eastAsia="Arial" w:hAnsi="Arial"/>
          <w:b/>
          <w:bCs/>
          <w:sz w:val="22"/>
          <w:szCs w:val="22"/>
        </w:rPr>
        <w:t xml:space="preserve">Per-identity rate limiting: </w:t>
      </w:r>
      <w:r>
        <w:rPr>
          <w:rFonts w:ascii="Arial" w:cs="Arial" w:eastAsia="Arial" w:hAnsi="Arial"/>
          <w:sz w:val="22"/>
          <w:szCs w:val="22"/>
        </w:rPr>
        <w:t xml:space="preserve">Each authenticated identity has rate limits appropriate to their participation model (user, institution, validator).</w:t>
      </w:r>
    </w:p>
    <w:p>
      <w:pPr>
        <w:pStyle w:val="ListParagraph"/>
        <w:numPr>
          <w:ilvl w:val="0"/>
          <w:numId w:val="2"/>
        </w:numPr>
        <w:spacing w:after="80"/>
      </w:pPr>
      <w:r>
        <w:rPr>
          <w:rFonts w:ascii="Arial" w:cs="Arial" w:eastAsia="Arial" w:hAnsi="Arial"/>
          <w:b/>
          <w:bCs/>
          <w:sz w:val="22"/>
          <w:szCs w:val="22"/>
        </w:rPr>
        <w:t xml:space="preserve">Proof-of-work for unauthenticated requests: </w:t>
      </w:r>
      <w:r>
        <w:rPr>
          <w:rFonts w:ascii="Arial" w:cs="Arial" w:eastAsia="Arial" w:hAnsi="Arial"/>
          <w:sz w:val="22"/>
          <w:szCs w:val="22"/>
        </w:rPr>
        <w:t xml:space="preserve">Unauthenticated requests must include a proof-of-work solution. The difficulty adjusts dynamically based on current load.</w:t>
      </w:r>
    </w:p>
    <w:p>
      <w:pPr>
        <w:pStyle w:val="ListParagraph"/>
        <w:numPr>
          <w:ilvl w:val="0"/>
          <w:numId w:val="2"/>
        </w:numPr>
        <w:spacing w:after="80"/>
      </w:pPr>
      <w:r>
        <w:rPr>
          <w:rFonts w:ascii="Arial" w:cs="Arial" w:eastAsia="Arial" w:hAnsi="Arial"/>
          <w:b/>
          <w:bCs/>
          <w:sz w:val="22"/>
          <w:szCs w:val="22"/>
        </w:rPr>
        <w:t xml:space="preserve">Backpressure propagation: </w:t>
      </w:r>
      <w:r>
        <w:rPr>
          <w:rFonts w:ascii="Arial" w:cs="Arial" w:eastAsia="Arial" w:hAnsi="Arial"/>
          <w:sz w:val="22"/>
          <w:szCs w:val="22"/>
        </w:rPr>
        <w:t xml:space="preserve">When a downstream service approaches capacity, it signals upstream services to reduce request rates. The system degrades gracefully rather than failing catastrophically.</w:t>
      </w:r>
    </w:p>
    <w:p>
      <w:pPr>
        <w:pStyle w:val="ListParagraph"/>
        <w:numPr>
          <w:ilvl w:val="0"/>
          <w:numId w:val="2"/>
        </w:numPr>
        <w:spacing w:after="80"/>
      </w:pPr>
      <w:r>
        <w:rPr>
          <w:rFonts w:ascii="Arial" w:cs="Arial" w:eastAsia="Arial" w:hAnsi="Arial"/>
          <w:b/>
          <w:bCs/>
          <w:sz w:val="22"/>
          <w:szCs w:val="22"/>
        </w:rPr>
        <w:t xml:space="preserve">Request prioritization: </w:t>
      </w:r>
      <w:r>
        <w:rPr>
          <w:rFonts w:ascii="Arial" w:cs="Arial" w:eastAsia="Arial" w:hAnsi="Arial"/>
          <w:sz w:val="22"/>
          <w:szCs w:val="22"/>
        </w:rPr>
        <w:t xml:space="preserve">During high load, vault operations (Tier 1) take precedence over share link access (Tier 4) and unauthenticated traffic (Tier 5).</w:t>
      </w:r>
    </w:p>
    <w:p>
      <w:r>
        <w:br w:type="page"/>
      </w:r>
    </w:p>
    <w:p>
      <w:pPr>
        <w:pStyle w:val="Heading1"/>
      </w:pPr>
      <w:r>
        <w:rPr>
          <w:rFonts w:ascii="Arial" w:cs="Arial" w:eastAsia="Arial" w:hAnsi="Arial"/>
        </w:rPr>
        <w:t xml:space="preserve">6. Validator Network Protection</w:t>
      </w:r>
    </w:p>
    <w:p>
      <w:pPr>
        <w:pStyle w:val="Heading2"/>
      </w:pPr>
      <w:r>
        <w:rPr>
          <w:rFonts w:ascii="Arial" w:cs="Arial" w:eastAsia="Arial" w:hAnsi="Arial"/>
        </w:rPr>
        <w:t xml:space="preserve">6.1 Cost Tokens</w:t>
      </w:r>
    </w:p>
    <w:p>
      <w:pPr>
        <w:spacing w:after="140"/>
      </w:pPr>
      <w:r>
        <w:rPr>
          <w:rFonts w:ascii="Arial" w:cs="Arial" w:eastAsia="Arial" w:hAnsi="Arial"/>
          <w:sz w:val="22"/>
          <w:szCs w:val="22"/>
        </w:rPr>
        <w:t xml:space="preserve">Every validation request includes a cost token: a proof-of-work or signed authorization that prevents garbage flooding. Submitting validation requests costs computation or reputation. An attacker who floods the validator network with invalid requests burns resources without affecting legitimate traffic.</w:t>
      </w:r>
    </w:p>
    <w:p>
      <w:pPr>
        <w:pStyle w:val="Heading2"/>
      </w:pPr>
      <w:r>
        <w:rPr>
          <w:rFonts w:ascii="Arial" w:cs="Arial" w:eastAsia="Arial" w:hAnsi="Arial"/>
        </w:rPr>
        <w:t xml:space="preserve">6.2 Selection Diversity</w:t>
      </w:r>
    </w:p>
    <w:p>
      <w:pPr>
        <w:spacing w:after="140"/>
      </w:pPr>
      <w:r>
        <w:rPr>
          <w:rFonts w:ascii="Arial" w:cs="Arial" w:eastAsia="Arial" w:hAnsi="Arial"/>
          <w:sz w:val="22"/>
          <w:szCs w:val="22"/>
        </w:rPr>
        <w:t xml:space="preserve">Validator selection enforces organizational, geographic, and network diversity (Part 5, Section 5.2). An attacker who controls validators in one organization, region, or network cannot dominate any committee.</w:t>
      </w:r>
    </w:p>
    <w:p>
      <w:pPr>
        <w:pStyle w:val="Heading2"/>
      </w:pPr>
      <w:r>
        <w:rPr>
          <w:rFonts w:ascii="Arial" w:cs="Arial" w:eastAsia="Arial" w:hAnsi="Arial"/>
        </w:rPr>
        <w:t xml:space="preserve">6.3 Consensus Communication Security</w:t>
      </w:r>
    </w:p>
    <w:p>
      <w:pPr>
        <w:pStyle w:val="ListParagraph"/>
        <w:numPr>
          <w:ilvl w:val="0"/>
          <w:numId w:val="2"/>
        </w:numPr>
        <w:spacing w:after="60"/>
      </w:pPr>
      <w:r>
        <w:rPr>
          <w:rFonts w:ascii="Arial" w:cs="Arial" w:eastAsia="Arial" w:hAnsi="Arial"/>
          <w:sz w:val="22"/>
          <w:szCs w:val="22"/>
        </w:rPr>
        <w:t xml:space="preserve">Consensus messages are signed with per-round ephemeral keys (forward secrecy).</w:t>
      </w:r>
    </w:p>
    <w:p>
      <w:pPr>
        <w:pStyle w:val="ListParagraph"/>
        <w:numPr>
          <w:ilvl w:val="0"/>
          <w:numId w:val="2"/>
        </w:numPr>
        <w:spacing w:after="60"/>
      </w:pPr>
      <w:r>
        <w:rPr>
          <w:rFonts w:ascii="Arial" w:cs="Arial" w:eastAsia="Arial" w:hAnsi="Arial"/>
          <w:sz w:val="22"/>
          <w:szCs w:val="22"/>
        </w:rPr>
        <w:t xml:space="preserve">Inter-validator communication uses mTLS through the federation layer.</w:t>
      </w:r>
    </w:p>
    <w:p>
      <w:pPr>
        <w:pStyle w:val="ListParagraph"/>
        <w:numPr>
          <w:ilvl w:val="0"/>
          <w:numId w:val="2"/>
        </w:numPr>
        <w:spacing w:after="60"/>
      </w:pPr>
      <w:r>
        <w:rPr>
          <w:rFonts w:ascii="Arial" w:cs="Arial" w:eastAsia="Arial" w:hAnsi="Arial"/>
          <w:sz w:val="22"/>
          <w:szCs w:val="22"/>
        </w:rPr>
        <w:t xml:space="preserve">Validators do not communicate directly peer-to-peer, preventing network topology mapping.</w:t>
      </w:r>
    </w:p>
    <w:p>
      <w:pPr>
        <w:pStyle w:val="ListParagraph"/>
        <w:numPr>
          <w:ilvl w:val="0"/>
          <w:numId w:val="2"/>
        </w:numPr>
        <w:spacing w:after="60"/>
      </w:pPr>
      <w:r>
        <w:rPr>
          <w:rFonts w:ascii="Arial" w:cs="Arial" w:eastAsia="Arial" w:hAnsi="Arial"/>
          <w:sz w:val="22"/>
          <w:szCs w:val="22"/>
        </w:rPr>
        <w:t xml:space="preserve">Consensus results are signed by all agreeing validators (non-repudiation).</w:t>
      </w:r>
    </w:p>
    <w:p>
      <w:pPr>
        <w:pStyle w:val="Heading2"/>
      </w:pPr>
      <w:r>
        <w:rPr>
          <w:rFonts w:ascii="Arial" w:cs="Arial" w:eastAsia="Arial" w:hAnsi="Arial"/>
        </w:rPr>
        <w:t xml:space="preserve">6.4 Sybil Resistance Summary</w:t>
      </w:r>
    </w:p>
    <w:p>
      <w:pPr>
        <w:spacing w:after="140"/>
      </w:pPr>
      <w:r>
        <w:rPr>
          <w:rFonts w:ascii="Arial" w:cs="Arial" w:eastAsia="Arial" w:hAnsi="Arial"/>
          <w:sz w:val="22"/>
          <w:szCs w:val="22"/>
        </w:rPr>
        <w:t xml:space="preserve">Certification cost, probationary period, organizational diversity limits, diminishing returns for same-organization validators, and mentorship risk create a defense-in-depth against Sybil attacks. The full analysis is in Part 5, Section 7.</w:t>
      </w:r>
    </w:p>
    <w:p>
      <w:r>
        <w:br w:type="page"/>
      </w:r>
    </w:p>
    <w:p>
      <w:pPr>
        <w:pStyle w:val="Heading1"/>
      </w:pPr>
      <w:r>
        <w:rPr>
          <w:rFonts w:ascii="Arial" w:cs="Arial" w:eastAsia="Arial" w:hAnsi="Arial"/>
        </w:rPr>
        <w:t xml:space="preserve">7. Relay Abuse Prevention</w:t>
      </w:r>
    </w:p>
    <w:p>
      <w:pPr>
        <w:pStyle w:val="Heading2"/>
      </w:pPr>
      <w:r>
        <w:rPr>
          <w:rFonts w:ascii="Arial" w:cs="Arial" w:eastAsia="Arial" w:hAnsi="Arial"/>
        </w:rPr>
        <w:t xml:space="preserve">7.1 Per-Proxy Rate Limiting</w:t>
      </w:r>
    </w:p>
    <w:p>
      <w:pPr>
        <w:spacing w:after="140"/>
      </w:pPr>
      <w:r>
        <w:rPr>
          <w:rFonts w:ascii="Arial" w:cs="Arial" w:eastAsia="Arial" w:hAnsi="Arial"/>
          <w:sz w:val="22"/>
          <w:szCs w:val="22"/>
        </w:rPr>
        <w:t xml:space="preserve">Each proxy address has independent rate limits for inbound and outbound messages. Limits are configurable per proxy and per relay operator. Default limits prevent a single proxy from being used for spam relay while allowing normal communication volumes.</w:t>
      </w:r>
    </w:p>
    <w:p>
      <w:pPr>
        <w:pStyle w:val="Heading2"/>
      </w:pPr>
      <w:r>
        <w:rPr>
          <w:rFonts w:ascii="Arial" w:cs="Arial" w:eastAsia="Arial" w:hAnsi="Arial"/>
        </w:rPr>
        <w:t xml:space="preserve">7.2 Sender Reputation</w:t>
      </w:r>
    </w:p>
    <w:p>
      <w:pPr>
        <w:spacing w:after="140"/>
      </w:pPr>
      <w:r>
        <w:rPr>
          <w:rFonts w:ascii="Arial" w:cs="Arial" w:eastAsia="Arial" w:hAnsi="Arial"/>
          <w:sz w:val="22"/>
          <w:szCs w:val="22"/>
        </w:rPr>
        <w:t xml:space="preserve">The relay network tracks sender reputation across proxy addresses. Known-bad senders (spam sources, abuse sources) are blocked at the relay before reaching the user’s proxy. Reputation data is shared across relay operators through the federation layer.</w:t>
      </w:r>
    </w:p>
    <w:p>
      <w:pPr>
        <w:pStyle w:val="Heading2"/>
      </w:pPr>
      <w:r>
        <w:rPr>
          <w:rFonts w:ascii="Arial" w:cs="Arial" w:eastAsia="Arial" w:hAnsi="Arial"/>
        </w:rPr>
        <w:t xml:space="preserve">7.3 Enumeration Defense</w:t>
      </w:r>
    </w:p>
    <w:p>
      <w:pPr>
        <w:spacing w:after="140"/>
      </w:pPr>
      <w:r>
        <w:rPr>
          <w:rFonts w:ascii="Arial" w:cs="Arial" w:eastAsia="Arial" w:hAnsi="Arial"/>
          <w:sz w:val="22"/>
          <w:szCs w:val="22"/>
        </w:rPr>
        <w:t xml:space="preserve">An attacker attempting to discover valid proxy addresses receives uniform responses for all addresses—valid and invalid. Messages to non-existent proxies are accepted and silently discarded. Timing is uniform (tarpitting). There is no observable difference between sending to a real proxy and sending to a non-existent one.</w:t>
      </w:r>
    </w:p>
    <w:p>
      <w:pPr>
        <w:pStyle w:val="Heading2"/>
      </w:pPr>
      <w:r>
        <w:rPr>
          <w:rFonts w:ascii="Arial" w:cs="Arial" w:eastAsia="Arial" w:hAnsi="Arial"/>
        </w:rPr>
        <w:t xml:space="preserve">7.4 User-Configurable Filtering</w:t>
      </w:r>
    </w:p>
    <w:p>
      <w:pPr>
        <w:spacing w:after="140"/>
      </w:pPr>
      <w:r>
        <w:rPr>
          <w:rFonts w:ascii="Arial" w:cs="Arial" w:eastAsia="Arial" w:hAnsi="Arial"/>
          <w:sz w:val="22"/>
          <w:szCs w:val="22"/>
        </w:rPr>
        <w:t xml:space="preserve">Users can configure per-proxy filtering policies: whitelist-only (accept messages only from known senders), domain filtering (accept only from specific domains), content-type filtering (reject attachments), and time-based policies (proxy active only during business hours). Filtering is applied by the relay operator before forwarding.</w:t>
      </w:r>
    </w:p>
    <w:p>
      <w:r>
        <w:br w:type="page"/>
      </w:r>
    </w:p>
    <w:p>
      <w:pPr>
        <w:pStyle w:val="Heading1"/>
      </w:pPr>
      <w:r>
        <w:rPr>
          <w:rFonts w:ascii="Arial" w:cs="Arial" w:eastAsia="Arial" w:hAnsi="Arial"/>
        </w:rPr>
        <w:t xml:space="preserve">8. Traffic Analysis Resistance</w:t>
      </w:r>
    </w:p>
    <w:p>
      <w:pPr>
        <w:pStyle w:val="Heading2"/>
      </w:pPr>
      <w:r>
        <w:rPr>
          <w:rFonts w:ascii="Arial" w:cs="Arial" w:eastAsia="Arial" w:hAnsi="Arial"/>
        </w:rPr>
        <w:t xml:space="preserve">8.1 Threat</w:t>
      </w:r>
    </w:p>
    <w:p>
      <w:pPr>
        <w:spacing w:after="140"/>
      </w:pPr>
      <w:r>
        <w:rPr>
          <w:rFonts w:ascii="Arial" w:cs="Arial" w:eastAsia="Arial" w:hAnsi="Arial"/>
          <w:sz w:val="22"/>
          <w:szCs w:val="22"/>
        </w:rPr>
        <w:t xml:space="preserve">Even with encrypted transport, an observer can learn information from traffic patterns: message timing, sizes, frequency, and source/destination. A nation-state adversary monitoring network traffic could correlate vault operations with real-world events, identify communication patterns, or detect when a user accesses specific branches.</w:t>
      </w:r>
    </w:p>
    <w:p>
      <w:pPr>
        <w:pStyle w:val="Heading2"/>
      </w:pPr>
      <w:r>
        <w:rPr>
          <w:rFonts w:ascii="Arial" w:cs="Arial" w:eastAsia="Arial" w:hAnsi="Arial"/>
        </w:rPr>
        <w:t xml:space="preserve">8.2 Countermeasures</w:t>
      </w:r>
    </w:p>
    <w:p>
      <w:pPr>
        <w:pStyle w:val="ListParagraph"/>
        <w:numPr>
          <w:ilvl w:val="0"/>
          <w:numId w:val="2"/>
        </w:numPr>
        <w:spacing w:after="80"/>
      </w:pPr>
      <w:r>
        <w:rPr>
          <w:rFonts w:ascii="Arial" w:cs="Arial" w:eastAsia="Arial" w:hAnsi="Arial"/>
          <w:b/>
          <w:bCs/>
          <w:sz w:val="22"/>
          <w:szCs w:val="22"/>
        </w:rPr>
        <w:t xml:space="preserve">Constant-rate padding: </w:t>
      </w:r>
      <w:r>
        <w:rPr>
          <w:rFonts w:ascii="Arial" w:cs="Arial" w:eastAsia="Arial" w:hAnsi="Arial"/>
          <w:sz w:val="22"/>
          <w:szCs w:val="22"/>
        </w:rPr>
        <w:t xml:space="preserve">Vault holder devices maintain a constant rate of network traffic to the Bonafide network, regardless of actual operation volume. Real operations are interleaved with dummy operations that are indistinguishable to an observer.</w:t>
      </w:r>
    </w:p>
    <w:p>
      <w:pPr>
        <w:pStyle w:val="ListParagraph"/>
        <w:numPr>
          <w:ilvl w:val="0"/>
          <w:numId w:val="2"/>
        </w:numPr>
        <w:spacing w:after="80"/>
      </w:pPr>
      <w:r>
        <w:rPr>
          <w:rFonts w:ascii="Arial" w:cs="Arial" w:eastAsia="Arial" w:hAnsi="Arial"/>
          <w:b/>
          <w:bCs/>
          <w:sz w:val="22"/>
          <w:szCs w:val="22"/>
        </w:rPr>
        <w:t xml:space="preserve">Uniform request/response sizing: </w:t>
      </w:r>
      <w:r>
        <w:rPr>
          <w:rFonts w:ascii="Arial" w:cs="Arial" w:eastAsia="Arial" w:hAnsi="Arial"/>
          <w:sz w:val="22"/>
          <w:szCs w:val="22"/>
        </w:rPr>
        <w:t xml:space="preserve">Requests and responses are padded to power-of-two size classes (256B, 512B, 1KB, 2KB, ...). An observer cannot distinguish a small query from a large document transfer if both fall in the same size class.</w:t>
      </w:r>
    </w:p>
    <w:p>
      <w:pPr>
        <w:pStyle w:val="ListParagraph"/>
        <w:numPr>
          <w:ilvl w:val="0"/>
          <w:numId w:val="2"/>
        </w:numPr>
        <w:spacing w:after="80"/>
      </w:pPr>
      <w:r>
        <w:rPr>
          <w:rFonts w:ascii="Arial" w:cs="Arial" w:eastAsia="Arial" w:hAnsi="Arial"/>
          <w:b/>
          <w:bCs/>
          <w:sz w:val="22"/>
          <w:szCs w:val="22"/>
        </w:rPr>
        <w:t xml:space="preserve">Timing jitter: </w:t>
      </w:r>
      <w:r>
        <w:rPr>
          <w:rFonts w:ascii="Arial" w:cs="Arial" w:eastAsia="Arial" w:hAnsi="Arial"/>
          <w:sz w:val="22"/>
          <w:szCs w:val="22"/>
        </w:rPr>
        <w:t xml:space="preserve">Random delays are added to request/response timing to prevent timing correlation between operations and external events.</w:t>
      </w:r>
    </w:p>
    <w:p>
      <w:pPr>
        <w:pStyle w:val="ListParagraph"/>
        <w:numPr>
          <w:ilvl w:val="0"/>
          <w:numId w:val="2"/>
        </w:numPr>
        <w:spacing w:after="80"/>
      </w:pPr>
      <w:r>
        <w:rPr>
          <w:rFonts w:ascii="Arial" w:cs="Arial" w:eastAsia="Arial" w:hAnsi="Arial"/>
          <w:b/>
          <w:bCs/>
          <w:sz w:val="22"/>
          <w:szCs w:val="22"/>
        </w:rPr>
        <w:t xml:space="preserve">Optional ORAM: </w:t>
      </w:r>
      <w:r>
        <w:rPr>
          <w:rFonts w:ascii="Arial" w:cs="Arial" w:eastAsia="Arial" w:hAnsi="Arial"/>
          <w:sz w:val="22"/>
          <w:szCs w:val="22"/>
        </w:rPr>
        <w:t xml:space="preserve">For high-security deployments, the specification supports Oblivious RAM patterns for vault access. ORAM ensures that the access pattern to stored quanta reveals nothing about which quanta are being accessed. ORAM has significant performance overhead and is recommended only for Classification S deployments with Level 7+ data.</w:t>
      </w:r>
    </w:p>
    <w:p>
      <w:pPr>
        <w:pStyle w:val="Heading2"/>
      </w:pPr>
      <w:r>
        <w:rPr>
          <w:rFonts w:ascii="Arial" w:cs="Arial" w:eastAsia="Arial" w:hAnsi="Arial"/>
        </w:rPr>
        <w:t xml:space="preserve">8.3 Traffic Analysis and Privacy Classification</w:t>
      </w:r>
    </w:p>
    <w:p>
      <w:pPr>
        <w:spacing w:after="140"/>
      </w:pPr>
      <w:r>
        <w:rPr>
          <w:rFonts w:ascii="Arial" w:cs="Arial" w:eastAsia="Arial" w:hAnsi="Arial"/>
          <w:sz w:val="22"/>
          <w:szCs w:val="22"/>
        </w:rPr>
        <w:t xml:space="preserve">Traffic analysis resistance is a component of the privacy classification assessment. Classification S deployments are expected to implement constant-rate padding and ORAM for high-security channels. Classification A deployments implement padding and uniform sizing. Classification B and C deployments implement uniform sizing at minimum.</w:t>
      </w:r>
    </w:p>
    <w:p>
      <w:r>
        <w:br w:type="page"/>
      </w:r>
    </w:p>
    <w:p>
      <w:pPr>
        <w:pStyle w:val="Heading1"/>
      </w:pPr>
      <w:r>
        <w:rPr>
          <w:rFonts w:ascii="Arial" w:cs="Arial" w:eastAsia="Arial" w:hAnsi="Arial"/>
        </w:rPr>
        <w:t xml:space="preserve">9. Incident Response</w:t>
      </w:r>
    </w:p>
    <w:p>
      <w:pPr>
        <w:pStyle w:val="Heading2"/>
      </w:pPr>
      <w:r>
        <w:rPr>
          <w:rFonts w:ascii="Arial" w:cs="Arial" w:eastAsia="Arial" w:hAnsi="Arial"/>
        </w:rPr>
        <w:t xml:space="preserve">9.1 Trust Score as Immune System</w:t>
      </w:r>
    </w:p>
    <w:p>
      <w:pPr>
        <w:spacing w:after="140"/>
      </w:pPr>
      <w:r>
        <w:rPr>
          <w:rFonts w:ascii="Arial" w:cs="Arial" w:eastAsia="Arial" w:hAnsi="Arial"/>
          <w:sz w:val="22"/>
          <w:szCs w:val="22"/>
        </w:rPr>
        <w:t xml:space="preserve">The trust scoring system (Part 5, Section 4) acts as an automated immune system. Misbehaving participants—validators that produce incorrect results, institutions with attestation failures, relay operators with content inspection—see their trust scores degrade automatically. Scores below thresholds trigger automatic capability restrictions. The system self-heals without requiring manual intervention for most incidents.</w:t>
      </w:r>
    </w:p>
    <w:p>
      <w:pPr>
        <w:pStyle w:val="Heading2"/>
      </w:pPr>
      <w:r>
        <w:rPr>
          <w:rFonts w:ascii="Arial" w:cs="Arial" w:eastAsia="Arial" w:hAnsi="Arial"/>
        </w:rPr>
        <w:t xml:space="preserve">9.2 Certificate Revocation</w:t>
      </w:r>
    </w:p>
    <w:p>
      <w:pPr>
        <w:spacing w:after="140"/>
      </w:pPr>
      <w:r>
        <w:rPr>
          <w:rFonts w:ascii="Arial" w:cs="Arial" w:eastAsia="Arial" w:hAnsi="Arial"/>
          <w:sz w:val="22"/>
          <w:szCs w:val="22"/>
        </w:rPr>
        <w:t xml:space="preserve">When a participant’s certificate must be revoked (compromise detected, certification revoked, trust score below threshold):</w:t>
      </w:r>
    </w:p>
    <w:p>
      <w:pPr>
        <w:pStyle w:val="ListParagraph"/>
        <w:numPr>
          <w:ilvl w:val="0"/>
          <w:numId w:val="2"/>
        </w:numPr>
        <w:spacing w:after="60"/>
      </w:pPr>
      <w:r>
        <w:rPr>
          <w:rFonts w:ascii="Arial" w:cs="Arial" w:eastAsia="Arial" w:hAnsi="Arial"/>
          <w:sz w:val="22"/>
          <w:szCs w:val="22"/>
        </w:rPr>
        <w:t xml:space="preserve">The certificate is added to the CRL (Certificate Revocation List) published by ca.bonafide.id.</w:t>
      </w:r>
    </w:p>
    <w:p>
      <w:pPr>
        <w:pStyle w:val="ListParagraph"/>
        <w:numPr>
          <w:ilvl w:val="0"/>
          <w:numId w:val="2"/>
        </w:numPr>
        <w:spacing w:after="60"/>
      </w:pPr>
      <w:r>
        <w:rPr>
          <w:rFonts w:ascii="Arial" w:cs="Arial" w:eastAsia="Arial" w:hAnsi="Arial"/>
          <w:sz w:val="22"/>
          <w:szCs w:val="22"/>
        </w:rPr>
        <w:t xml:space="preserve">OCSP responders are updated within 60 seconds.</w:t>
      </w:r>
    </w:p>
    <w:p>
      <w:pPr>
        <w:pStyle w:val="ListParagraph"/>
        <w:numPr>
          <w:ilvl w:val="0"/>
          <w:numId w:val="2"/>
        </w:numPr>
        <w:spacing w:after="60"/>
      </w:pPr>
      <w:r>
        <w:rPr>
          <w:rFonts w:ascii="Arial" w:cs="Arial" w:eastAsia="Arial" w:hAnsi="Arial"/>
          <w:sz w:val="22"/>
          <w:szCs w:val="22"/>
        </w:rPr>
        <w:t xml:space="preserve">All active sessions using the revoked certificate are terminated.</w:t>
      </w:r>
    </w:p>
    <w:p>
      <w:pPr>
        <w:pStyle w:val="ListParagraph"/>
        <w:numPr>
          <w:ilvl w:val="0"/>
          <w:numId w:val="2"/>
        </w:numPr>
        <w:spacing w:after="60"/>
      </w:pPr>
      <w:r>
        <w:rPr>
          <w:rFonts w:ascii="Arial" w:cs="Arial" w:eastAsia="Arial" w:hAnsi="Arial"/>
          <w:sz w:val="22"/>
          <w:szCs w:val="22"/>
        </w:rPr>
        <w:t xml:space="preserve">The revocation event is recorded in the ledger.</w:t>
      </w:r>
    </w:p>
    <w:p>
      <w:pPr>
        <w:pStyle w:val="Heading2"/>
      </w:pPr>
      <w:r>
        <w:rPr>
          <w:rFonts w:ascii="Arial" w:cs="Arial" w:eastAsia="Arial" w:hAnsi="Arial"/>
        </w:rPr>
        <w:t xml:space="preserve">9.3 Incident Types and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1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Incident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Detection</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Automated Response</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Manual Response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Validator compromise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Consensus disagreement, attestation failure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 reduction, suspension at threshold, committee exclusion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Investigation, re-certification, or permanent ban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Institutional key compromise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Attestation failure, anomalous access patterns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Certificate revocation, runtime lockdown, user notification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Forensic investigation, re-keying, breach notification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Relay content inspection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Canary detection in relay layer, audit finding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Certification revocation, relay defederation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Investigation, potential legal action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Device compromise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Attestation failure, anomalous location/behavior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Device deauthorization, session termination, user alert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Device re-enrollment or replacement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DDoS attack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Traffic volume anomaly, backpressure triggers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Proof-of-work difficulty increase, tier isolation, anycast absorption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Traffic analysis, upstream filtering coordination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breach at institution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Canary detection, external report, anomalous access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 score impact, user notification, enhanced monitoring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Forensic investigation, regulatory reporting, remediation</w:t>
            </w:r>
          </w:p>
        </w:tc>
      </w:tr>
    </w:tbl>
    <w:p>
      <w:pPr>
        <w:spacing w:after="100"/>
      </w:pPr>
    </w:p>
    <w:p>
      <w:pPr>
        <w:pStyle w:val="Heading2"/>
      </w:pPr>
      <w:r>
        <w:rPr>
          <w:rFonts w:ascii="Arial" w:cs="Arial" w:eastAsia="Arial" w:hAnsi="Arial"/>
        </w:rPr>
        <w:t xml:space="preserve">9.4 Forensic Audit Trail</w:t>
      </w:r>
    </w:p>
    <w:p>
      <w:pPr>
        <w:spacing w:after="140"/>
      </w:pPr>
      <w:r>
        <w:rPr>
          <w:rFonts w:ascii="Arial" w:cs="Arial" w:eastAsia="Arial" w:hAnsi="Arial"/>
          <w:sz w:val="22"/>
          <w:szCs w:val="22"/>
        </w:rPr>
        <w:t xml:space="preserve">Every security-relevant event is recorded in the immutable ledger: certificate issuance and revocation, trust score changes, attestation results, consensus outcomes, revocation events, and incident responses. The ledger provides a permanent, tamper-proof record for forensic investigation and regulatory compliance.</w:t>
      </w:r>
    </w:p>
    <w:p>
      <w:pPr>
        <w:spacing w:after="100"/>
      </w:pPr>
    </w:p>
    <w:p>
      <w:pPr>
        <w:pBdr>
          <w:top w:val="single" w:color="1F4E79" w:sz="8" w:space="1"/>
        </w:pBdr>
        <w:spacing w:before="240"/>
      </w:pPr>
    </w:p>
    <w:p>
      <w:pPr>
        <w:spacing w:after="40"/>
        <w:jc w:val="center"/>
      </w:pPr>
      <w:r>
        <w:rPr>
          <w:rFonts w:ascii="Arial" w:cs="Arial" w:eastAsia="Arial" w:hAnsi="Arial"/>
          <w:b/>
          <w:bCs/>
          <w:color w:val="1F4E79"/>
          <w:sz w:val="24"/>
          <w:szCs w:val="24"/>
        </w:rPr>
        <w:t xml:space="preserve">Bonafide™ — Privacy by architecture, not by promise.</w:t>
      </w:r>
    </w:p>
    <w:p>
      <w:pPr>
        <w:jc w:val="center"/>
      </w:pPr>
      <w:r>
        <w:rPr>
          <w:rFonts w:ascii="Arial" w:cs="Arial" w:eastAsia="Arial" w:hAnsi="Arial"/>
          <w:color w:val="666666"/>
          <w:sz w:val="20"/>
          <w:szCs w:val="20"/>
        </w:rPr>
        <w:t xml:space="preserve">An open specification by Sly Technologies Inc.  |  bonafide.id  |  bonafideid.org</w:t>
      </w:r>
    </w:p>
    <w:p>
      <w:pPr>
        <w:jc w:val="center"/>
      </w:pPr>
      <w:r>
        <w:rPr>
          <w:rFonts w:ascii="Arial" w:cs="Arial" w:eastAsia="Arial" w:hAnsi="Arial"/>
          <w:color w:val="666666"/>
          <w:sz w:val="20"/>
          <w:szCs w:val="20"/>
        </w:rPr>
        <w:t xml:space="preserve">V1.0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999999"/>
        <w:sz w:val="16"/>
        <w:szCs w:val="16"/>
      </w:rPr>
      <w:t xml:space="preserve">Sly Technologies Inc. — bonafide.id	V1.0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999999"/>
        <w:sz w:val="16"/>
        <w:szCs w:val="16"/>
      </w:rPr>
      <w:t xml:space="preserve">BONAFIDE™ SPECIFICATION V1.0 — PART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2026-02-19T19:24:25.547Z</dcterms:created>
  <dcterms:modified xsi:type="dcterms:W3CDTF">2026-02-19T19:24:25.548Z</dcterms:modified>
</cp:coreProperties>
</file>

<file path=docProps/custom.xml><?xml version="1.0" encoding="utf-8"?>
<Properties xmlns="http://schemas.openxmlformats.org/officeDocument/2006/custom-properties" xmlns:vt="http://schemas.openxmlformats.org/officeDocument/2006/docPropsVTypes"/>
</file>