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ampus-iq-gap-readiness-check"/>
    <w:p>
      <w:pPr>
        <w:pStyle w:val="Heading1"/>
      </w:pPr>
      <w:r>
        <w:t xml:space="preserve">Campus IQ — GAP · Readiness Check</w:t>
      </w:r>
    </w:p>
    <w:p>
      <w:pPr>
        <w:pStyle w:val="FirstParagraph"/>
      </w:pPr>
      <w:r>
        <w:rPr>
          <w:bCs/>
          <w:b/>
        </w:rPr>
        <w:t xml:space="preserve">Ethan Brooks</w:t>
      </w:r>
      <w:r>
        <w:t xml:space="preserve"> </w:t>
      </w:r>
      <w:r>
        <w:t xml:space="preserve">· Texas A&amp;M University · Generated 2026-07</w:t>
      </w:r>
    </w:p>
    <w:p>
      <w:pPr>
        <w:pStyle w:val="BodyText"/>
      </w:pPr>
      <w:r>
        <w:rPr>
          <w:bCs/>
          <w:b/>
        </w:rPr>
        <w:t xml:space="preserve">Target roles:</w:t>
      </w:r>
      <w:r>
        <w:t xml:space="preserve"> </w:t>
      </w:r>
      <w:r>
        <w:t xml:space="preserve">Software Engineering Intern · Computer Engineering Intern · Embedded Systems Intern</w:t>
      </w:r>
    </w:p>
    <w:p>
      <w:r>
        <w:pict>
          <v:rect style="width:0;height:1.5pt" o:hralign="center" o:hrstd="t" o:hr="t"/>
        </w:pict>
      </w:r>
    </w:p>
    <w:bookmarkStart w:id="20" w:name="readiness-snapshot"/>
    <w:p>
      <w:pPr>
        <w:pStyle w:val="Heading2"/>
      </w:pPr>
      <w:r>
        <w:t xml:space="preserve">Readiness Snapshot</w:t>
      </w:r>
    </w:p>
    <w:p>
      <w:pPr>
        <w:pStyle w:val="FirstParagraph"/>
      </w:pPr>
      <w:r>
        <w:t xml:space="preserve">You’re a freshman, so the honest read is: long runway, early stage, and the gaps below are expected rather than alarming. The point of this check isn’t to rank you against a senior — it’s to show you what to build now so the internships are reachable when you apply.</w:t>
      </w:r>
    </w:p>
    <w:p>
      <w:pPr>
        <w:pStyle w:val="BodyText"/>
      </w:pPr>
      <w:r>
        <w:rPr>
          <w:bCs/>
          <w:b/>
        </w:rPr>
        <w:t xml:space="preserve">Readiness level:</w:t>
      </w:r>
      <w:r>
        <w:t xml:space="preserve"> </w:t>
      </w:r>
      <w:r>
        <w:t xml:space="preserve">Early — foundation in place, evidence not yet built.</w:t>
      </w:r>
    </w:p>
    <w:p>
      <w:r>
        <w:pict>
          <v:rect style="width:0;height:1.5pt" o:hralign="center" o:hrstd="t" o:hr="t"/>
        </w:pict>
      </w:r>
    </w:p>
    <w:bookmarkEnd w:id="20"/>
    <w:bookmarkStart w:id="21" w:name="where-you-stand-strong"/>
    <w:p>
      <w:pPr>
        <w:pStyle w:val="Heading2"/>
      </w:pPr>
      <w:r>
        <w:t xml:space="preserve">Where You Stand Strong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real (if early) team engineering experience.</w:t>
      </w:r>
      <w:r>
        <w:t xml:space="preserve"> </w:t>
      </w:r>
      <w:r>
        <w:t xml:space="preserve">Your work on the Texas A&amp;M Engineering Project Team gives you something most freshmen don’t have — documented collaboration on an engineering deliverable.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right starting foundation.</w:t>
      </w:r>
      <w:r>
        <w:t xml:space="preserve"> </w:t>
      </w:r>
      <w:r>
        <w:t xml:space="preserve">Python and engineering-computation basics from ENGR 102 are exactly where a future embedded/software intern should begin.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Coherent direction.</w:t>
      </w:r>
      <w:r>
        <w:t xml:space="preserve"> </w:t>
      </w:r>
      <w:r>
        <w:t xml:space="preserve">Your interests, intended major, and target roles all point the same way. That focus is itself an asset.</w:t>
      </w:r>
    </w:p>
    <w:p>
      <w:r>
        <w:pict>
          <v:rect style="width:0;height:1.5pt" o:hralign="center" o:hrstd="t" o:hr="t"/>
        </w:pict>
      </w:r>
    </w:p>
    <w:bookmarkEnd w:id="21"/>
    <w:bookmarkStart w:id="22" w:name="must-close-gaps"/>
    <w:p>
      <w:pPr>
        <w:pStyle w:val="Heading2"/>
      </w:pPr>
      <w:r>
        <w:t xml:space="preserve">Must-Close Gaps</w:t>
      </w:r>
    </w:p>
    <w:p>
      <w:pPr>
        <w:pStyle w:val="FirstParagraph"/>
      </w:pPr>
      <w:r>
        <w:t xml:space="preserve">These are the things standing between you and a competitive internship application — in priority order.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Demonstrated, documented projects.</w:t>
      </w:r>
      <w:r>
        <w:t xml:space="preserve"> </w:t>
      </w:r>
      <w:r>
        <w:t xml:space="preserve">This is the big one. You have coursework, but not yet a project you can</w:t>
      </w:r>
      <w:r>
        <w:t xml:space="preserve"> </w:t>
      </w:r>
      <w:r>
        <w:rPr>
          <w:iCs/>
          <w:i/>
        </w:rPr>
        <w:t xml:space="preserve">show</w:t>
      </w:r>
      <w:r>
        <w:t xml:space="preserve"> </w:t>
      </w:r>
      <w:r>
        <w:t xml:space="preserve">— with a README, tested code, and a written account of your process. For these roles, employers read your documentation as direct evidence you can do the 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Depth beyond basics.</w:t>
      </w:r>
      <w:r>
        <w:t xml:space="preserve"> </w:t>
      </w:r>
      <w:r>
        <w:t xml:space="preserve">“</w:t>
      </w:r>
      <w:r>
        <w:t xml:space="preserve">Python basics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MATLAB basics</w:t>
      </w:r>
      <w:r>
        <w:t xml:space="preserve">”</w:t>
      </w:r>
      <w:r>
        <w:t xml:space="preserve"> </w:t>
      </w:r>
      <w:r>
        <w:t xml:space="preserve">need to become demonstrated proficiency over the next two years — proven through projects, not just listed on courses.</w:t>
      </w:r>
    </w:p>
    <w:p>
      <w:r>
        <w:pict>
          <v:rect style="width:0;height:1.5pt" o:hralign="center" o:hrstd="t" o:hr="t"/>
        </w:pict>
      </w:r>
    </w:p>
    <w:bookmarkEnd w:id="22"/>
    <w:bookmarkStart w:id="23" w:name="nice-to-have-not-urgent-as-a-freshman"/>
    <w:p>
      <w:pPr>
        <w:pStyle w:val="Heading2"/>
      </w:pPr>
      <w:r>
        <w:t xml:space="preserve">Nice-to-Have (Not Urgent as a Freshman)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Certifications.</w:t>
      </w:r>
      <w:r>
        <w:t xml:space="preserve"> </w:t>
      </w:r>
      <w:r>
        <w:t xml:space="preserve">You have none yet, and that’s fine at this stage. Don’t rush these — projects matter more right now.</w:t>
      </w:r>
    </w:p>
    <w:p>
      <w:r>
        <w:pict>
          <v:rect style="width:0;height:1.5pt" o:hralign="center" o:hrstd="t" o:hr="t"/>
        </w:pict>
      </w:r>
    </w:p>
    <w:bookmarkEnd w:id="23"/>
    <w:bookmarkStart w:id="24" w:name="your-runway"/>
    <w:p>
      <w:pPr>
        <w:pStyle w:val="Heading2"/>
      </w:pPr>
      <w:r>
        <w:t xml:space="preserve">Your Runway</w:t>
      </w:r>
    </w:p>
    <w:p>
      <w:pPr>
        <w:pStyle w:val="FirstParagraph"/>
      </w:pPr>
      <w:r>
        <w:t xml:space="preserve">Graduation is May 2029. That’s a long, forgiving timeline — you can close every gap above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you start building documented project evidence now rather than waiting until junior year. The students who struggle aren’t the ones with gaps as freshmen; they’re the ones who wait until applications are due to start closing them.</w:t>
      </w:r>
    </w:p>
    <w:p>
      <w:r>
        <w:pict>
          <v:rect style="width:0;height:1.5pt" o:hralign="center" o:hrstd="t" o:hr="t"/>
        </w:pict>
      </w:r>
    </w:p>
    <w:bookmarkEnd w:id="24"/>
    <w:bookmarkStart w:id="25" w:name="recommended-next-steps"/>
    <w:p>
      <w:pPr>
        <w:pStyle w:val="Heading2"/>
      </w:pPr>
      <w:r>
        <w:t xml:space="preserve">Recommended Next Steps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Turn one existing class project into a documented portfolio piece.</w:t>
      </w:r>
      <w:r>
        <w:t xml:space="preserve"> </w:t>
      </w:r>
      <w:r>
        <w:t xml:space="preserve">Take your ENGR 102 computation work, add a proper README, clean tested code, and a short write-up of your process. This single action closes your #1 gap.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 as you go, everywhere.</w:t>
      </w:r>
      <w:r>
        <w:t xml:space="preserve"> </w:t>
      </w:r>
      <w:r>
        <w:t xml:space="preserve">In code, comment your logic and write testing notes. This builds the exact habit employers hire on — and it’s already what your professors are nudging you toward.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Target one technical internship or research assistantship for next summer.</w:t>
      </w:r>
      <w:r>
        <w:t xml:space="preserve"> </w:t>
      </w:r>
      <w:r>
        <w:t xml:space="preserve">Even an on-campus lab role adds the applied experience that ranks highest with employers.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Data routing note: Ethan’s target roles (Software Engineering / Computer Engineering / Embedded Systems Intern) have no clean O*NET-SOC family match, so GAP resolves him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web-search-only</w:t>
      </w:r>
      <w:r>
        <w:rPr>
          <w:iCs/>
          <w:i/>
        </w:rPr>
        <w:t xml:space="preserve"> </w:t>
      </w:r>
      <w:r>
        <w:rPr>
          <w:iCs/>
          <w:i/>
        </w:rPr>
        <w:t xml:space="preserve">per the resolution cascade — must-have vs. nice-to-have is derived from live DFW posting requirements, not O*NET importance scores. (O*NET-scored GAP applies to students whose target roles match one of the 10 mapped role families.)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2026-07-11T17:05:08Z</dcterms:created>
  <dcterms:modified xsi:type="dcterms:W3CDTF">2026-07-11T17:05:08Z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