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ampus-iq-combined-report"/>
    <w:p>
      <w:pPr>
        <w:pStyle w:val="Heading1"/>
      </w:pPr>
      <w:r>
        <w:t xml:space="preserve">Campus IQ — Combined Report</w:t>
      </w:r>
    </w:p>
    <w:p>
      <w:pPr>
        <w:pStyle w:val="FirstParagraph"/>
      </w:pPr>
      <w:r>
        <w:rPr>
          <w:bCs/>
          <w:b/>
        </w:rPr>
        <w:t xml:space="preserve">Ethan Brooks</w:t>
      </w:r>
      <w:r>
        <w:t xml:space="preserve"> </w:t>
      </w:r>
      <w:r>
        <w:t xml:space="preserve">· Texas A&amp;M University · Generated {{report_date}}</w:t>
      </w:r>
    </w:p>
    <w:p>
      <w:r>
        <w:pict>
          <v:rect style="width:0;height:1.5pt" o:hralign="center" o:hrstd="t" o:hr="t"/>
        </w:pict>
      </w:r>
    </w:p>
    <w:bookmarkStart w:id="20" w:name="at-a-glance"/>
    <w:p>
      <w:pPr>
        <w:pStyle w:val="Heading2"/>
      </w:pPr>
      <w:r>
        <w:t xml:space="preserve">At a Glance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Current major</w:t>
            </w:r>
          </w:p>
        </w:tc>
        <w:tc>
          <w:tcPr/>
          <w:p>
            <w:pPr>
              <w:pStyle w:val="Compact"/>
              <w:jc w:val="left"/>
            </w:pPr>
            <w:r>
              <w:t xml:space="preserve">General Engineering</w:t>
            </w:r>
          </w:p>
        </w:tc>
      </w:tr>
      <w:tr>
        <w:tc>
          <w:tcPr/>
          <w:p>
            <w:pPr>
              <w:pStyle w:val="Compact"/>
              <w:jc w:val="left"/>
            </w:pPr>
            <w:r>
              <w:rPr>
                <w:bCs/>
                <w:b/>
              </w:rPr>
              <w:t xml:space="preserve">Intended major</w:t>
            </w:r>
          </w:p>
        </w:tc>
        <w:tc>
          <w:tcPr/>
          <w:p>
            <w:pPr>
              <w:pStyle w:val="Compact"/>
              <w:jc w:val="left"/>
            </w:pPr>
            <w:r>
              <w:t xml:space="preserve">Computer Engineering (via ETAM)</w:t>
            </w:r>
          </w:p>
        </w:tc>
      </w:tr>
      <w:tr>
        <w:tc>
          <w:tcPr/>
          <w:p>
            <w:pPr>
              <w:pStyle w:val="Compact"/>
              <w:jc w:val="left"/>
            </w:pPr>
            <w:r>
              <w:rPr>
                <w:bCs/>
                <w:b/>
              </w:rPr>
              <w:t xml:space="preserve">Classification</w:t>
            </w:r>
          </w:p>
        </w:tc>
        <w:tc>
          <w:tcPr/>
          <w:p>
            <w:pPr>
              <w:pStyle w:val="Compact"/>
              <w:jc w:val="left"/>
            </w:pPr>
            <w:r>
              <w:t xml:space="preserve">Freshman</w:t>
            </w:r>
          </w:p>
        </w:tc>
      </w:tr>
      <w:tr>
        <w:tc>
          <w:tcPr/>
          <w:p>
            <w:pPr>
              <w:pStyle w:val="Compact"/>
              <w:jc w:val="left"/>
            </w:pPr>
            <w:r>
              <w:rPr>
                <w:bCs/>
                <w:b/>
              </w:rPr>
              <w:t xml:space="preserve">Current GPA</w:t>
            </w:r>
          </w:p>
        </w:tc>
        <w:tc>
          <w:tcPr/>
          <w:p>
            <w:pPr>
              <w:pStyle w:val="Compact"/>
              <w:jc w:val="left"/>
            </w:pPr>
            <w:r>
              <w:t xml:space="preserve">2.64</w:t>
            </w:r>
          </w:p>
        </w:tc>
      </w:tr>
      <w:tr>
        <w:tc>
          <w:tcPr/>
          <w:p>
            <w:pPr>
              <w:pStyle w:val="Compact"/>
              <w:jc w:val="left"/>
            </w:pPr>
            <w:r>
              <w:rPr>
                <w:bCs/>
                <w:b/>
              </w:rPr>
              <w:t xml:space="preserve">Expected graduation</w:t>
            </w:r>
          </w:p>
        </w:tc>
        <w:tc>
          <w:tcPr/>
          <w:p>
            <w:pPr>
              <w:pStyle w:val="Compact"/>
              <w:jc w:val="left"/>
            </w:pPr>
            <w:r>
              <w:t xml:space="preserve">May 2029</w:t>
            </w:r>
          </w:p>
        </w:tc>
      </w:tr>
      <w:tr>
        <w:tc>
          <w:tcPr/>
          <w:p>
            <w:pPr>
              <w:pStyle w:val="Compact"/>
              <w:jc w:val="left"/>
            </w:pPr>
            <w:r>
              <w:rPr>
                <w:bCs/>
                <w:b/>
              </w:rPr>
              <w:t xml:space="preserve">Target roles</w:t>
            </w:r>
          </w:p>
        </w:tc>
        <w:tc>
          <w:tcPr/>
          <w:p>
            <w:pPr>
              <w:pStyle w:val="Compact"/>
              <w:jc w:val="left"/>
            </w:pPr>
            <w:r>
              <w:t xml:space="preserve">Software Engineering Intern · Computer Engineering Intern · Embedded Systems Intern</w:t>
            </w:r>
          </w:p>
        </w:tc>
      </w:tr>
      <w:tr>
        <w:tc>
          <w:tcPr/>
          <w:p>
            <w:pPr>
              <w:pStyle w:val="Compact"/>
              <w:jc w:val="left"/>
            </w:pPr>
            <w:r>
              <w:rPr>
                <w:bCs/>
                <w:b/>
              </w:rPr>
              <w:t xml:space="preserve">Features run</w:t>
            </w:r>
          </w:p>
        </w:tc>
        <w:tc>
          <w:tcPr/>
          <w:p>
            <w:pPr>
              <w:pStyle w:val="Compact"/>
              <w:jc w:val="left"/>
            </w:pPr>
            <w:r>
              <w:t xml:space="preserve">Academic (4) + Career (3) — full report</w:t>
            </w:r>
          </w:p>
        </w:tc>
      </w:tr>
    </w:tbl>
    <w:p>
      <w:r>
        <w:pict>
          <v:rect style="width:0;height:1.5pt" o:hralign="center" o:hrstd="t" o:hr="t"/>
        </w:pict>
      </w:r>
    </w:p>
    <w:bookmarkEnd w:id="20"/>
    <w:bookmarkStart w:id="21" w:name="the-through-line"/>
    <w:p>
      <w:pPr>
        <w:pStyle w:val="Heading2"/>
      </w:pPr>
      <w:r>
        <w:t xml:space="preserve">The Through-Line</w:t>
      </w:r>
    </w:p>
    <w:p>
      <w:pPr>
        <w:pStyle w:val="FirstParagraph"/>
      </w:pPr>
      <w:r>
        <w:t xml:space="preserve">Everything below points at one pattern, so it’s worth naming first.</w:t>
      </w:r>
    </w:p>
    <w:p>
      <w:pPr>
        <w:pStyle w:val="BodyText"/>
      </w:pPr>
      <w:r>
        <w:t xml:space="preserve">Your professors — in math, in chemistry, in engineering computation — keep flagging the same habit: you skip the intermediate steps and under-document your process. Right now that’s costing you partial credit on exams. But it’s the</w:t>
      </w:r>
      <w:r>
        <w:t xml:space="preserve"> </w:t>
      </w:r>
      <w:r>
        <w:rPr>
          <w:iCs/>
          <w:i/>
        </w:rPr>
        <w:t xml:space="preserve">same</w:t>
      </w:r>
      <w:r>
        <w:t xml:space="preserve"> </w:t>
      </w:r>
      <w:r>
        <w:t xml:space="preserve">habit that decides technical internships, where documented code, testing notes, and showing your reasoning in review aren’t extras — they’re the job. And your GPA sits just below where you want it for a competitive ETAM application into Computer Engineering, which is the gate you have to clear before the internships are even on the table.</w:t>
      </w:r>
    </w:p>
    <w:p>
      <w:pPr>
        <w:pStyle w:val="BodyText"/>
      </w:pPr>
      <w:r>
        <w:t xml:space="preserve">So the academic feedback and the career goal aren’t two separate problems. They’re the same lever.</w:t>
      </w:r>
      <w:r>
        <w:t xml:space="preserve"> </w:t>
      </w:r>
      <w:r>
        <w:rPr>
          <w:bCs/>
          <w:b/>
        </w:rPr>
        <w:t xml:space="preserve">The single behavior change that raises your GPA — documenting your work as you go — is the same one that makes you internship-ready.</w:t>
      </w:r>
      <w:r>
        <w:t xml:space="preserve"> </w:t>
      </w:r>
      <w:r>
        <w:t xml:space="preserve">That’s the thread this report follows.</w:t>
      </w:r>
    </w:p>
    <w:p>
      <w:r>
        <w:pict>
          <v:rect style="width:0;height:1.5pt" o:hralign="center" o:hrstd="t" o:hr="t"/>
        </w:pict>
      </w:r>
    </w:p>
    <w:bookmarkEnd w:id="21"/>
    <w:bookmarkStart w:id="25" w:name="academic"/>
    <w:p>
      <w:pPr>
        <w:pStyle w:val="Heading2"/>
      </w:pPr>
      <w:r>
        <w:t xml:space="preserve">Academic</w:t>
      </w:r>
    </w:p>
    <w:bookmarkStart w:id="22" w:name="professor-comment-analyzer"/>
    <w:p>
      <w:pPr>
        <w:pStyle w:val="Heading3"/>
      </w:pPr>
      <w:r>
        <w:t xml:space="preserve">Professor Comment Analyzer</w:t>
      </w:r>
    </w:p>
    <w:p>
      <w:pPr>
        <w:pStyle w:val="FirstParagraph"/>
      </w:pPr>
      <w:r>
        <w:t xml:space="preserve">Across your graded work this term, one theme repeats in three different courses:</w:t>
      </w:r>
    </w:p>
    <w:p>
      <w:pPr>
        <w:numPr>
          <w:ilvl w:val="0"/>
          <w:numId w:val="1001"/>
        </w:numPr>
        <w:pStyle w:val="Compact"/>
      </w:pPr>
      <w:r>
        <w:rPr>
          <w:bCs/>
          <w:b/>
        </w:rPr>
        <w:t xml:space="preserve">Math (Dr. Castillo):</w:t>
      </w:r>
      <w:r>
        <w:t xml:space="preserve"> </w:t>
      </w:r>
      <w:r>
        <w:t xml:space="preserve">“</w:t>
      </w:r>
      <w:r>
        <w:t xml:space="preserve">final simplification steps skipped — show your work</w:t>
      </w:r>
      <w:r>
        <w:t xml:space="preserve">”</w:t>
      </w:r>
      <w:r>
        <w:t xml:space="preserve"> </w:t>
      </w:r>
      <w:r>
        <w:t xml:space="preserve">— and later,</w:t>
      </w:r>
      <w:r>
        <w:t xml:space="preserve"> </w:t>
      </w:r>
      <w:r>
        <w:t xml:space="preserve">“</w:t>
      </w:r>
      <w:r>
        <w:t xml:space="preserve">same pattern as the problem set.</w:t>
      </w:r>
      <w:r>
        <w:t xml:space="preserve">”</w:t>
      </w:r>
    </w:p>
    <w:p>
      <w:pPr>
        <w:numPr>
          <w:ilvl w:val="0"/>
          <w:numId w:val="1001"/>
        </w:numPr>
        <w:pStyle w:val="Compact"/>
      </w:pPr>
      <w:r>
        <w:rPr>
          <w:bCs/>
          <w:b/>
        </w:rPr>
        <w:t xml:space="preserve">Engineering computation (Dr. Patel):</w:t>
      </w:r>
      <w:r>
        <w:t xml:space="preserve"> </w:t>
      </w:r>
      <w:r>
        <w:t xml:space="preserve">“</w:t>
      </w:r>
      <w:r>
        <w:t xml:space="preserve">code works — add comments explaining your logic,</w:t>
      </w:r>
      <w:r>
        <w:t xml:space="preserve">”</w:t>
      </w:r>
      <w:r>
        <w:t xml:space="preserve"> </w:t>
      </w:r>
      <w:r>
        <w:t xml:space="preserve">then</w:t>
      </w:r>
      <w:r>
        <w:t xml:space="preserve"> </w:t>
      </w:r>
      <w:r>
        <w:t xml:space="preserve">“</w:t>
      </w:r>
      <w:r>
        <w:t xml:space="preserve">document your testing process next time.</w:t>
      </w:r>
      <w:r>
        <w:t xml:space="preserve">”</w:t>
      </w:r>
    </w:p>
    <w:p>
      <w:pPr>
        <w:numPr>
          <w:ilvl w:val="0"/>
          <w:numId w:val="1001"/>
        </w:numPr>
        <w:pStyle w:val="Compact"/>
      </w:pPr>
      <w:r>
        <w:rPr>
          <w:bCs/>
          <w:b/>
        </w:rPr>
        <w:t xml:space="preserve">Chemistry (Dr. Lee):</w:t>
      </w:r>
      <w:r>
        <w:t xml:space="preserve"> </w:t>
      </w:r>
      <w:r>
        <w:t xml:space="preserve">“</w:t>
      </w:r>
      <w:r>
        <w:t xml:space="preserve">show more decimal precision in your final heat values.</w:t>
      </w:r>
      <w:r>
        <w:t xml:space="preserve">”</w:t>
      </w:r>
    </w:p>
    <w:p>
      <w:pPr>
        <w:pStyle w:val="FirstParagraph"/>
      </w:pPr>
      <w:r>
        <w:t xml:space="preserve">Different subjects, same root: your thinking is sound, but you’re not making it</w:t>
      </w:r>
      <w:r>
        <w:t xml:space="preserve"> </w:t>
      </w:r>
      <w:r>
        <w:rPr>
          <w:iCs/>
          <w:i/>
        </w:rPr>
        <w:t xml:space="preserve">visible</w:t>
      </w:r>
      <w:r>
        <w:t xml:space="preserve">. Graders can’t award what they can’t see, and reviewers can’t trust what isn’t shown. This is the most actionable pattern in your profile because fixing it moves multiple grades at once.</w:t>
      </w:r>
    </w:p>
    <w:bookmarkEnd w:id="22"/>
    <w:bookmarkStart w:id="23" w:name="exam-gap-analysis"/>
    <w:p>
      <w:pPr>
        <w:pStyle w:val="Heading3"/>
      </w:pPr>
      <w:r>
        <w:t xml:space="preserve">Exam Gap Analysis</w:t>
      </w:r>
    </w:p>
    <w:p>
      <w:pPr>
        <w:pStyle w:val="FirstParagraph"/>
      </w:pPr>
      <w:r>
        <w:t xml:space="preserve">Your topic-level exam data shows where points are actually leaking:</w:t>
      </w:r>
    </w:p>
    <w:p>
      <w:pPr>
        <w:numPr>
          <w:ilvl w:val="0"/>
          <w:numId w:val="1002"/>
        </w:numPr>
        <w:pStyle w:val="Compact"/>
      </w:pPr>
      <w:r>
        <w:rPr>
          <w:bCs/>
          <w:b/>
        </w:rPr>
        <w:t xml:space="preserve">Calculus (MATH 151):</w:t>
      </w:r>
      <w:r>
        <w:t xml:space="preserve"> </w:t>
      </w:r>
      <w:r>
        <w:t xml:space="preserve">scores decline as concepts compound — Limits (20/25) → Derivative Rules (19/25) → Chain Rule (18/25) → Implicit Differentiation (17/25). The drop tracks the added intermediate steps each topic requires — consistent with the documentation pattern above.</w:t>
      </w:r>
    </w:p>
    <w:p>
      <w:pPr>
        <w:numPr>
          <w:ilvl w:val="0"/>
          <w:numId w:val="1002"/>
        </w:numPr>
        <w:pStyle w:val="Compact"/>
      </w:pPr>
      <w:r>
        <w:rPr>
          <w:bCs/>
          <w:b/>
        </w:rPr>
        <w:t xml:space="preserve">Chemistry (CHEM 107):</w:t>
      </w:r>
      <w:r>
        <w:t xml:space="preserve"> </w:t>
      </w:r>
      <w:r>
        <w:t xml:space="preserve">Thermochemistry is your weakest topic (16/25), notably below your Stoichiometry strength (22/25).</w:t>
      </w:r>
    </w:p>
    <w:p>
      <w:pPr>
        <w:pStyle w:val="FirstParagraph"/>
      </w:pPr>
      <w:r>
        <w:t xml:space="preserve">The gaps aren’t random knowledge holes — they cluster on multi-step problems, which is the same place the</w:t>
      </w:r>
      <w:r>
        <w:t xml:space="preserve"> </w:t>
      </w:r>
      <w:r>
        <w:t xml:space="preserve">“</w:t>
      </w:r>
      <w:r>
        <w:t xml:space="preserve">show your work</w:t>
      </w:r>
      <w:r>
        <w:t xml:space="preserve">”</w:t>
      </w:r>
      <w:r>
        <w:t xml:space="preserve"> </w:t>
      </w:r>
      <w:r>
        <w:t xml:space="preserve">feedback lands.</w:t>
      </w:r>
    </w:p>
    <w:bookmarkEnd w:id="23"/>
    <w:bookmarkStart w:id="24" w:name="what-to-do-study-course-support"/>
    <w:p>
      <w:pPr>
        <w:pStyle w:val="Heading3"/>
      </w:pPr>
      <w:r>
        <w:t xml:space="preserve">What To Do — Study &amp; Course Support</w:t>
      </w:r>
    </w:p>
    <w:p>
      <w:pPr>
        <w:numPr>
          <w:ilvl w:val="0"/>
          <w:numId w:val="1003"/>
        </w:numPr>
        <w:pStyle w:val="Compact"/>
      </w:pPr>
      <w:r>
        <w:rPr>
          <w:bCs/>
          <w:b/>
        </w:rPr>
        <w:t xml:space="preserve">Immediate:</w:t>
      </w:r>
      <w:r>
        <w:t xml:space="preserve"> </w:t>
      </w:r>
      <w:r>
        <w:t xml:space="preserve">For Thermochemistry and Implicit Differentiation, work problems writing</w:t>
      </w:r>
      <w:r>
        <w:t xml:space="preserve"> </w:t>
      </w:r>
      <w:r>
        <w:rPr>
          <w:iCs/>
          <w:i/>
        </w:rPr>
        <w:t xml:space="preserve">every</w:t>
      </w:r>
      <w:r>
        <w:t xml:space="preserve"> </w:t>
      </w:r>
      <w:r>
        <w:t xml:space="preserve">step, even obvious ones. This directly targets both the exam gaps and the grading pattern.</w:t>
      </w:r>
    </w:p>
    <w:p>
      <w:pPr>
        <w:numPr>
          <w:ilvl w:val="0"/>
          <w:numId w:val="1003"/>
        </w:numPr>
        <w:pStyle w:val="Compact"/>
      </w:pPr>
      <w:r>
        <w:rPr>
          <w:bCs/>
          <w:b/>
        </w:rPr>
        <w:t xml:space="preserve">Next term:</w:t>
      </w:r>
      <w:r>
        <w:t xml:space="preserve"> </w:t>
      </w:r>
      <w:r>
        <w:t xml:space="preserve">A course load that reinforces computational fundamentals over piling on new abstract math will steady your GPA before ETAM.</w:t>
      </w:r>
      <w:r>
        <w:t xml:space="preserve"> </w:t>
      </w:r>
      <w:r>
        <w:rPr>
          <w:iCs/>
          <w:i/>
        </w:rPr>
        <w:t xml:space="preserve">(Specific course pull from TAMU catalog inserts here once the recommender runs.)</w:t>
      </w:r>
    </w:p>
    <w:p>
      <w:r>
        <w:pict>
          <v:rect style="width:0;height:1.5pt" o:hralign="center" o:hrstd="t" o:hr="t"/>
        </w:pict>
      </w:r>
    </w:p>
    <w:bookmarkEnd w:id="24"/>
    <w:bookmarkEnd w:id="25"/>
    <w:bookmarkStart w:id="29" w:name="career"/>
    <w:p>
      <w:pPr>
        <w:pStyle w:val="Heading2"/>
      </w:pPr>
      <w:r>
        <w:t xml:space="preserve">Career</w:t>
      </w:r>
    </w:p>
    <w:bookmarkStart w:id="26" w:name="fit-role-explorer"/>
    <w:p>
      <w:pPr>
        <w:pStyle w:val="Heading3"/>
      </w:pPr>
      <w:r>
        <w:t xml:space="preserve">FIT — Role Explorer</w:t>
      </w:r>
    </w:p>
    <w:p>
      <w:pPr>
        <w:pStyle w:val="FirstParagraph"/>
      </w:pPr>
      <w:r>
        <w:t xml:space="preserve">Your target roles line up unusually well with both your intended major and your stated interests — that’s a good sign this early.</w:t>
      </w:r>
    </w:p>
    <w:p>
      <w:pPr>
        <w:numPr>
          <w:ilvl w:val="0"/>
          <w:numId w:val="1004"/>
        </w:numPr>
        <w:pStyle w:val="Compact"/>
      </w:pPr>
      <w:r>
        <w:rPr>
          <w:bCs/>
          <w:b/>
        </w:rPr>
        <w:t xml:space="preserve">Embedded Systems Intern</w:t>
      </w:r>
      <w:r>
        <w:t xml:space="preserve"> </w:t>
      </w:r>
      <w:r>
        <w:t xml:space="preserve">— strongest alignment. Directly matches your interests in embedded systems, robotics, and computer hardware, and it’s a natural CpE feeder role.</w:t>
      </w:r>
    </w:p>
    <w:p>
      <w:pPr>
        <w:numPr>
          <w:ilvl w:val="0"/>
          <w:numId w:val="1004"/>
        </w:numPr>
        <w:pStyle w:val="Compact"/>
      </w:pPr>
      <w:r>
        <w:rPr>
          <w:bCs/>
          <w:b/>
        </w:rPr>
        <w:t xml:space="preserve">Software Engineering Intern</w:t>
      </w:r>
      <w:r>
        <w:t xml:space="preserve"> </w:t>
      </w:r>
      <w:r>
        <w:t xml:space="preserve">— strong. Your Python foundation and software-development interest support it; it’s the most abundant of your three targets in the Texas market.</w:t>
      </w:r>
    </w:p>
    <w:p>
      <w:pPr>
        <w:numPr>
          <w:ilvl w:val="0"/>
          <w:numId w:val="1004"/>
        </w:numPr>
        <w:pStyle w:val="Compact"/>
      </w:pPr>
      <w:r>
        <w:rPr>
          <w:bCs/>
          <w:b/>
        </w:rPr>
        <w:t xml:space="preserve">Computer Engineering Intern</w:t>
      </w:r>
      <w:r>
        <w:t xml:space="preserve"> </w:t>
      </w:r>
      <w:r>
        <w:t xml:space="preserve">— strong, and the broadest umbrella of the three.</w:t>
      </w:r>
    </w:p>
    <w:p>
      <w:pPr>
        <w:pStyle w:val="FirstParagraph"/>
      </w:pPr>
      <w:r>
        <w:t xml:space="preserve">All three are well-represented across your preferred Texas metros (College Station, Austin, Dallas, Houston). No fit problem here — the work is readiness, not direction.</w:t>
      </w:r>
    </w:p>
    <w:bookmarkEnd w:id="26"/>
    <w:bookmarkStart w:id="27" w:name="gap-readiness-check"/>
    <w:p>
      <w:pPr>
        <w:pStyle w:val="Heading3"/>
      </w:pPr>
      <w:r>
        <w:t xml:space="preserve">GAP — Readiness Check</w:t>
      </w:r>
    </w:p>
    <w:p>
      <w:pPr>
        <w:pStyle w:val="FirstParagraph"/>
      </w:pPr>
      <w:r>
        <w:t xml:space="preserve">You’re a freshman, so the honest read is: long runway, early stage, and the gaps are expected rather than alarming.</w:t>
      </w:r>
    </w:p>
    <w:p>
      <w:pPr>
        <w:pStyle w:val="BodyText"/>
      </w:pPr>
      <w:r>
        <w:rPr>
          <w:bCs/>
          <w:b/>
        </w:rPr>
        <w:t xml:space="preserve">Where you stand strong:</w:t>
      </w:r>
      <w:r>
        <w:t xml:space="preserve"> </w:t>
      </w:r>
      <w:r>
        <w:t xml:space="preserve">- A real (if early) team engineering experience on your record.</w:t>
      </w:r>
      <w:r>
        <w:t xml:space="preserve"> </w:t>
      </w:r>
      <w:r>
        <w:t xml:space="preserve">- Python and engineering-computation basics — the right starting foundation.</w:t>
      </w:r>
    </w:p>
    <w:p>
      <w:pPr>
        <w:pStyle w:val="BodyText"/>
      </w:pPr>
      <w:r>
        <w:rPr>
          <w:bCs/>
          <w:b/>
        </w:rPr>
        <w:t xml:space="preserve">Must-close gaps for your target internships:</w:t>
      </w:r>
      <w:r>
        <w:t xml:space="preserve"> </w:t>
      </w:r>
      <w:r>
        <w:t xml:space="preserve">-</w:t>
      </w:r>
      <w:r>
        <w:t xml:space="preserve"> </w:t>
      </w:r>
      <w:r>
        <w:rPr>
          <w:bCs/>
          <w:b/>
        </w:rPr>
        <w:t xml:space="preserve">Demonstrated, documented projects.</w:t>
      </w:r>
      <w:r>
        <w:t xml:space="preserve"> </w:t>
      </w:r>
      <w:r>
        <w:t xml:space="preserve">This is the big one. You have coursework, but not yet a project you can</w:t>
      </w:r>
      <w:r>
        <w:t xml:space="preserve"> </w:t>
      </w:r>
      <w:r>
        <w:rPr>
          <w:iCs/>
          <w:i/>
        </w:rPr>
        <w:t xml:space="preserve">show</w:t>
      </w:r>
      <w:r>
        <w:t xml:space="preserve"> </w:t>
      </w:r>
      <w:r>
        <w:t xml:space="preserve">— with a README, tested code, and a written process. Employers for these roles read your documentation as evidence you can do the work.</w:t>
      </w:r>
      <w:r>
        <w:t xml:space="preserve"> </w:t>
      </w:r>
      <w:r>
        <w:t xml:space="preserve">-</w:t>
      </w:r>
      <w:r>
        <w:t xml:space="preserve"> </w:t>
      </w:r>
      <w:r>
        <w:rPr>
          <w:bCs/>
          <w:b/>
        </w:rPr>
        <w:t xml:space="preserve">Depth beyond basics.</w:t>
      </w:r>
      <w:r>
        <w:t xml:space="preserve"> </w:t>
      </w:r>
      <w:r>
        <w:t xml:space="preserve">“</w:t>
      </w:r>
      <w:r>
        <w:t xml:space="preserve">Python basics</w:t>
      </w:r>
      <w:r>
        <w:t xml:space="preserve">”</w:t>
      </w:r>
      <w:r>
        <w:t xml:space="preserve"> </w:t>
      </w:r>
      <w:r>
        <w:t xml:space="preserve">and</w:t>
      </w:r>
      <w:r>
        <w:t xml:space="preserve"> </w:t>
      </w:r>
      <w:r>
        <w:t xml:space="preserve">“</w:t>
      </w:r>
      <w:r>
        <w:t xml:space="preserve">MATLAB basics</w:t>
      </w:r>
      <w:r>
        <w:t xml:space="preserve">”</w:t>
      </w:r>
      <w:r>
        <w:t xml:space="preserve"> </w:t>
      </w:r>
      <w:r>
        <w:t xml:space="preserve">need to become demonstrated proficiency over the next two years — through projects, not just courses.</w:t>
      </w:r>
    </w:p>
    <w:p>
      <w:pPr>
        <w:pStyle w:val="BodyText"/>
      </w:pPr>
      <w:r>
        <w:rPr>
          <w:bCs/>
          <w:b/>
        </w:rPr>
        <w:t xml:space="preserve">Nice-to-have (not urgent as a freshman):</w:t>
      </w:r>
      <w:r>
        <w:t xml:space="preserve"> </w:t>
      </w:r>
      <w:r>
        <w:t xml:space="preserve">- Certifications — none yet, and that’s fine at this stage.</w:t>
      </w:r>
    </w:p>
    <w:p>
      <w:pPr>
        <w:pStyle w:val="BodyText"/>
      </w:pPr>
      <w:r>
        <w:rPr>
          <w:bCs/>
          <w:b/>
        </w:rPr>
        <w:t xml:space="preserve">Your runway:</w:t>
      </w:r>
      <w:r>
        <w:t xml:space="preserve"> </w:t>
      </w:r>
      <w:r>
        <w:t xml:space="preserve">graduation May 2029 means you have time to close every one of these —</w:t>
      </w:r>
      <w:r>
        <w:t xml:space="preserve"> </w:t>
      </w:r>
      <w:r>
        <w:rPr>
          <w:iCs/>
          <w:i/>
        </w:rPr>
        <w:t xml:space="preserve">if</w:t>
      </w:r>
      <w:r>
        <w:t xml:space="preserve"> </w:t>
      </w:r>
      <w:r>
        <w:t xml:space="preserve">you start building documented project evidence now rather than in junior year.</w:t>
      </w:r>
    </w:p>
    <w:bookmarkEnd w:id="27"/>
    <w:bookmarkStart w:id="28" w:name="shift-trend-aware-guidance"/>
    <w:p>
      <w:pPr>
        <w:pStyle w:val="Heading3"/>
      </w:pPr>
      <w:r>
        <w:t xml:space="preserve">SHIFT — Trend-Aware Guidance</w:t>
      </w:r>
    </w:p>
    <w:p>
      <w:pPr>
        <w:pStyle w:val="FirstParagraph"/>
      </w:pPr>
      <w:r>
        <w:t xml:space="preserve">Your target field is shifting, and the direction actually favors you if you prepare deliberately — this is path-clarity, not a warning.</w:t>
      </w:r>
    </w:p>
    <w:p>
      <w:pPr>
        <w:numPr>
          <w:ilvl w:val="0"/>
          <w:numId w:val="1005"/>
        </w:numPr>
        <w:pStyle w:val="Compact"/>
      </w:pPr>
      <w:r>
        <w:rPr>
          <w:bCs/>
          <w:b/>
        </w:rPr>
        <w:t xml:space="preserve">What’s changing:</w:t>
      </w:r>
      <w:r>
        <w:t xml:space="preserve"> </w:t>
      </w:r>
      <w:r>
        <w:t xml:space="preserve">Embedded and software roles increasingly expect fluency with AI-assisted tooling. Your</w:t>
      </w:r>
      <w:r>
        <w:t xml:space="preserve"> </w:t>
      </w:r>
      <w:r>
        <w:t xml:space="preserve">“</w:t>
      </w:r>
      <w:r>
        <w:t xml:space="preserve">moderate</w:t>
      </w:r>
      <w:r>
        <w:t xml:space="preserve">”</w:t>
      </w:r>
      <w:r>
        <w:t xml:space="preserve"> </w:t>
      </w:r>
      <w:r>
        <w:t xml:space="preserve">comfort with AI and informal use for code explanation is a fine starting point — the ask isn’t to be an AI expert, it’s to be able to</w:t>
      </w:r>
      <w:r>
        <w:t xml:space="preserve"> </w:t>
      </w:r>
      <w:r>
        <w:rPr>
          <w:iCs/>
          <w:i/>
        </w:rPr>
        <w:t xml:space="preserve">articulate</w:t>
      </w:r>
      <w:r>
        <w:t xml:space="preserve"> </w:t>
      </w:r>
      <w:r>
        <w:t xml:space="preserve">how you use these tools well.</w:t>
      </w:r>
    </w:p>
    <w:p>
      <w:pPr>
        <w:numPr>
          <w:ilvl w:val="0"/>
          <w:numId w:val="1005"/>
        </w:numPr>
        <w:pStyle w:val="Compact"/>
      </w:pPr>
      <w:r>
        <w:rPr>
          <w:bCs/>
          <w:b/>
        </w:rPr>
        <w:t xml:space="preserve">What stays durable:</w:t>
      </w:r>
      <w:r>
        <w:t xml:space="preserve"> </w:t>
      </w:r>
      <w:r>
        <w:t xml:space="preserve">The fundamentals — debugging judgment, systems thinking, and yes, documentation and testing discipline — are exactly the skills that don’t get automated away. Your professors are, unintentionally, already coaching you toward the durable ones.</w:t>
      </w:r>
    </w:p>
    <w:p>
      <w:pPr>
        <w:numPr>
          <w:ilvl w:val="0"/>
          <w:numId w:val="1005"/>
        </w:numPr>
        <w:pStyle w:val="Compact"/>
      </w:pPr>
      <w:r>
        <w:rPr>
          <w:bCs/>
          <w:b/>
        </w:rPr>
        <w:t xml:space="preserve">How to talk about it:</w:t>
      </w:r>
      <w:r>
        <w:t xml:space="preserve"> </w:t>
      </w:r>
      <w:r>
        <w:t xml:space="preserve">When you build your documented projects, note where you used AI tools and where you reasoned independently. That articulation is what employers increasingly probe for, and most students your year can’t do it yet.</w:t>
      </w:r>
    </w:p>
    <w:p>
      <w:r>
        <w:pict>
          <v:rect style="width:0;height:1.5pt" o:hralign="center" o:hrstd="t" o:hr="t"/>
        </w:pict>
      </w:r>
    </w:p>
    <w:bookmarkEnd w:id="28"/>
    <w:bookmarkEnd w:id="29"/>
    <w:bookmarkStart w:id="30" w:name="integrated-synthesis-action-plan"/>
    <w:p>
      <w:pPr>
        <w:pStyle w:val="Heading2"/>
      </w:pPr>
      <w:r>
        <w:t xml:space="preserve">Integrated Synthesis &amp; Action Plan</w:t>
      </w:r>
    </w:p>
    <w:p>
      <w:pPr>
        <w:pStyle w:val="FirstParagraph"/>
      </w:pPr>
      <w:r>
        <w:t xml:space="preserve">Here’s how both sides of your profile connect into one set of moves.</w:t>
      </w:r>
    </w:p>
    <w:p>
      <w:pPr>
        <w:pStyle w:val="BodyText"/>
      </w:pPr>
      <w:r>
        <w:rPr>
          <w:bCs/>
          <w:b/>
        </w:rPr>
        <w:t xml:space="preserve">The connection:</w:t>
      </w:r>
      <w:r>
        <w:t xml:space="preserve"> </w:t>
      </w:r>
      <w:r>
        <w:t xml:space="preserve">Your academic feedback (skipping steps, under-documenting) and your top career gap (no documented, shown project work) are the</w:t>
      </w:r>
      <w:r>
        <w:t xml:space="preserve"> </w:t>
      </w:r>
      <w:r>
        <w:rPr>
          <w:iCs/>
          <w:i/>
        </w:rPr>
        <w:t xml:space="preserve">same skill deficit</w:t>
      </w:r>
      <w:r>
        <w:t xml:space="preserve"> </w:t>
      </w:r>
      <w:r>
        <w:t xml:space="preserve">wearing two costumes. Address it once and both improve.</w:t>
      </w:r>
    </w:p>
    <w:p>
      <w:pPr>
        <w:pStyle w:val="BodyText"/>
      </w:pPr>
      <w:r>
        <w:rPr>
          <w:bCs/>
          <w:b/>
        </w:rPr>
        <w:t xml:space="preserve">Your prioritized next steps:</w:t>
      </w:r>
    </w:p>
    <w:p>
      <w:pPr>
        <w:numPr>
          <w:ilvl w:val="0"/>
          <w:numId w:val="1006"/>
        </w:numPr>
        <w:pStyle w:val="Compact"/>
      </w:pPr>
      <w:r>
        <w:rPr>
          <w:bCs/>
          <w:b/>
        </w:rPr>
        <w:t xml:space="preserve">Start documenting your work everywhere — now.</w:t>
      </w:r>
      <w:r>
        <w:t xml:space="preserve"> </w:t>
      </w:r>
      <w:r>
        <w:t xml:space="preserve">In problem sets, show every step. In code, comment your logic and write testing notes. This raises exam scores</w:t>
      </w:r>
      <w:r>
        <w:t xml:space="preserve"> </w:t>
      </w:r>
      <w:r>
        <w:rPr>
          <w:iCs/>
          <w:i/>
        </w:rPr>
        <w:t xml:space="preserve">and</w:t>
      </w:r>
      <w:r>
        <w:t xml:space="preserve"> </w:t>
      </w:r>
      <w:r>
        <w:t xml:space="preserve">builds the habit employers hire on. Highest-leverage change you can make.</w:t>
      </w:r>
    </w:p>
    <w:p>
      <w:pPr>
        <w:numPr>
          <w:ilvl w:val="0"/>
          <w:numId w:val="1006"/>
        </w:numPr>
        <w:pStyle w:val="Compact"/>
      </w:pPr>
      <w:r>
        <w:rPr>
          <w:bCs/>
          <w:b/>
        </w:rPr>
        <w:t xml:space="preserve">Turn one class project into a documented portfolio piece.</w:t>
      </w:r>
      <w:r>
        <w:t xml:space="preserve"> </w:t>
      </w:r>
      <w:r>
        <w:t xml:space="preserve">Take something like your ENGR 102 computation work, add a proper README, tested code, and a short write-up of your process and where you used AI tools. This closes your #1 career gap and reinforces the academic habit simultaneously.</w:t>
      </w:r>
    </w:p>
    <w:p>
      <w:pPr>
        <w:numPr>
          <w:ilvl w:val="0"/>
          <w:numId w:val="1006"/>
        </w:numPr>
        <w:pStyle w:val="Compact"/>
      </w:pPr>
      <w:r>
        <w:rPr>
          <w:bCs/>
          <w:b/>
        </w:rPr>
        <w:t xml:space="preserve">Protect your ETAM path.</w:t>
      </w:r>
      <w:r>
        <w:t xml:space="preserve"> </w:t>
      </w:r>
      <w:r>
        <w:t xml:space="preserve">A competitive GPA is the gate to Computer Engineering. Steadying Calculus and Chemistry through the step-documentation fix is the most direct lever you have before you apply.</w:t>
      </w:r>
    </w:p>
    <w:p>
      <w:pPr>
        <w:numPr>
          <w:ilvl w:val="0"/>
          <w:numId w:val="1006"/>
        </w:numPr>
        <w:pStyle w:val="Compact"/>
      </w:pPr>
      <w:r>
        <w:rPr>
          <w:bCs/>
          <w:b/>
        </w:rPr>
        <w:t xml:space="preserve">Keep exploring — you don’t need certifications or a narrowed role yet.</w:t>
      </w:r>
      <w:r>
        <w:t xml:space="preserve"> </w:t>
      </w:r>
      <w:r>
        <w:t xml:space="preserve">Your direction is sound. Year one is for building the foundation the internships will later stand on.</w:t>
      </w:r>
    </w:p>
    <w:p>
      <w:pPr>
        <w:pStyle w:val="FirstParagraph"/>
      </w:pPr>
      <w:r>
        <w:t xml:space="preserve">The takeaway: you’re not behind on</w:t>
      </w:r>
      <w:r>
        <w:t xml:space="preserve"> </w:t>
      </w:r>
      <w:r>
        <w:rPr>
          <w:iCs/>
          <w:i/>
        </w:rPr>
        <w:t xml:space="preserve">direction</w:t>
      </w:r>
      <w:r>
        <w:t xml:space="preserve"> </w:t>
      </w:r>
      <w:r>
        <w:t xml:space="preserve">— your target roles fit you well. You’re at the start of building</w:t>
      </w:r>
      <w:r>
        <w:t xml:space="preserve"> </w:t>
      </w:r>
      <w:r>
        <w:rPr>
          <w:iCs/>
          <w:i/>
        </w:rPr>
        <w:t xml:space="preserve">evidence</w:t>
      </w:r>
      <w:r>
        <w:t xml:space="preserve">, and the single habit your professors are already nudging you toward is the same one that gets you there.</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2026-07-11T17:05:05Z</dcterms:created>
  <dcterms:modified xsi:type="dcterms:W3CDTF">2026-07-11T17:05:05Z</dcterms:modified>
</cp:coreProperties>
</file>

<file path=docProps/custom.xml><?xml version="1.0" encoding="utf-8"?>
<Properties xmlns="http://schemas.openxmlformats.org/officeDocument/2006/custom-properties" xmlns:vt="http://schemas.openxmlformats.org/officeDocument/2006/docPropsVTypes"/>
</file>