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line="240" w:lineRule="auto"/>
        <w:rPr>
          <w:sz w:val="20"/>
          <w:szCs w:val="20"/>
        </w:rPr>
      </w:pPr>
      <w:r>
        <w:rPr>
          <w:rFonts w:hint="eastAsia"/>
          <w:sz w:val="20"/>
          <w:szCs w:val="20"/>
        </w:rPr>
        <w:t xml:space="preserve">[혁신적인 탄소배출권 거래 솔루션]</w:t>
      </w:r>
    </w:p>
    <w:p>
      <w:pPr>
        <w:pStyle w:val="a6"/>
        <w:numPr>
          <w:ilvl w:val="0"/>
          <w:numId w:val="1"/>
        </w:numPr>
        <w:spacing w:after="0" w:line="240" w:lineRule="auto"/>
        <w:rPr>
          <w:sz w:val="20"/>
          <w:szCs w:val="20"/>
        </w:rPr>
      </w:pPr>
      <w:r>
        <w:rPr>
          <w:rFonts w:hint="eastAsia"/>
          <w:sz w:val="20"/>
          <w:szCs w:val="20"/>
        </w:rPr>
        <w:t xml:space="preserve">(Summary) 탄소배출권은 이산화탄소 1톤을 배출하거나 감축했다는 것을 나타내는 디지털 증서인데, 이를 다루는 기존 방식에는 이중 계산, 불투명한 기록, 사기, 높은 중개 비용, 느린 측정·보고·검증(MRV)이라는 문제가 있다. 실제로 EU 배출권거래제에서는 2008~09년 배출권을 이용한 부가가치세 사기로 약 50억 유로의 세수 손실이 발생했고(Europol, 2009), 2011년 1월에는 여러 회원국의 배출권 등록부가 해킹되어 수백만 톤의 배출권이 도난당하면서 EU가 등록부 간 이전을 일시 중단하였다(I4CE, 2011).</w:t>
      </w:r>
    </w:p>
    <w:p>
      <w:pPr>
        <w:pStyle w:val="a6"/>
        <w:numPr>
          <w:ilvl w:val="0"/>
          <w:numId w:val="1"/>
        </w:numPr>
        <w:spacing w:after="0" w:line="240" w:lineRule="auto"/>
        <w:rPr>
          <w:sz w:val="20"/>
          <w:szCs w:val="20"/>
        </w:rPr>
      </w:pPr>
      <w:r>
        <w:rPr>
          <w:rFonts w:hint="eastAsia"/>
          <w:sz w:val="20"/>
          <w:szCs w:val="20"/>
        </w:rPr>
        <w:t xml:space="preserve">(Summary) 혁신적인 탄소배출권 거래 솔루션은 이러한 문제를 기술로 해결하려는 시도이다. 핵심 개념은 여러 참여자가 같은 장부를 나눠 가져 기록을 몰래 고칠 수 없게 하는 블록체인, 조건이 맞으면 거래를 자동 실행하는 스마트 계약, 배출권 1톤을 디지털 토큰으로 만드는 토큰화, 거래소 없이 참여자끼리 직접 거래하는 P2P 거래, 그리고 센서·위성·AI로 배출량을 자동 측정하는 디지털 MRV이다.</w:t>
      </w:r>
    </w:p>
    <w:p>
      <w:pPr>
        <w:pStyle w:val="a6"/>
        <w:numPr>
          <w:ilvl w:val="0"/>
          <w:numId w:val="1"/>
        </w:numPr>
        <w:spacing w:after="0" w:line="240" w:lineRule="auto"/>
        <w:rPr>
          <w:sz w:val="20"/>
          <w:szCs w:val="20"/>
        </w:rPr>
      </w:pPr>
      <w:r>
        <w:rPr>
          <w:rFonts w:hint="eastAsia"/>
          <w:sz w:val="20"/>
          <w:szCs w:val="20"/>
        </w:rPr>
        <w:t xml:space="preserve">(Summary) Khaqqi et al.(2018)은 배출권거래제를 블록체인 위에서 운영하면서 판매자·구매자의 평판 점수를 함께 기록해 신뢰할 수 있는 거래 상대를 가리는 구조를 제안하였고, Al Sadawi et al.(2021)은 IoT 센서가 측정한 배출량을 블록체인에 바로 기록하고 스마트 계약으로 거래까지 자동화하는 계층형 시스템을 설계하였다. Hua et al.(2020)은 태양광 가정 같은 프로슈머가 전기와 탄소배출권을 함께 P2P로 거래하는 구조를 제안하였고, Woo et al.(2021)은 건물 에너지 절감량의 MRV에 블록체인을 적용한 연구를 정리하였다.</w:t>
      </w:r>
    </w:p>
    <w:p>
      <w:pPr>
        <w:pStyle w:val="a6"/>
        <w:numPr>
          <w:ilvl w:val="0"/>
          <w:numId w:val="1"/>
        </w:numPr>
        <w:spacing w:after="0" w:line="240" w:lineRule="auto"/>
        <w:rPr>
          <w:sz w:val="20"/>
          <w:szCs w:val="20"/>
        </w:rPr>
      </w:pPr>
      <w:r>
        <w:rPr>
          <w:rFonts w:hint="eastAsia"/>
          <w:sz w:val="20"/>
          <w:szCs w:val="20"/>
        </w:rPr>
        <w:t xml:space="preserve">(Summary) Fu et al.(2018)은 의류 제조 공정의 단계별 배출을 블록체인에 기록하는 체계를 제안하고 가상의 제품에 적용한 사례를 제시하였다(4.1절). 같은 논문의 다기준 평가(5절, 11점 척도)에서 기존 배출권거래제는 6.69점, Khaqqi et al.의 블록체인 평판 모델은 6.97~7.37점으로 평가되어 블록체인 도입이 개선 효과를 가질 수 있음을 보였다. 다만 다섯 논문 모두 설계안이나 시뮬레이션 단계이며, 대규모로 실제 운영된 결과는 아니다.</w:t>
      </w:r>
    </w:p>
    <w:p>
      <w:pPr>
        <w:pStyle w:val="a6"/>
        <w:numPr>
          <w:ilvl w:val="0"/>
          <w:numId w:val="1"/>
        </w:numPr>
        <w:spacing w:after="0" w:line="240" w:lineRule="auto"/>
        <w:rPr>
          <w:sz w:val="20"/>
          <w:szCs w:val="20"/>
        </w:rPr>
      </w:pPr>
      <w:r>
        <w:rPr>
          <w:rFonts w:hint="eastAsia"/>
          <w:sz w:val="20"/>
          <w:szCs w:val="20"/>
        </w:rPr>
        <w:t xml:space="preserve">(Summary) 실제 적용 사례로는 세계은행·국제배출권거래협회(IETA)·싱가포르 정부가 2022년 12월 출범시킨 기후행동데이터신탁(CAD Trust)이 있다. 블록체인 기반 데이터 계층으로 여러 탄소 크레딧 등록부의 정보를 연결해 이중 계산을 찾아내는 것이 목적이다. 또한 세계 최대 자발적 탄소 인증기관인 Verra는 2022년 11월 위성 데이터와 AI로 산림 탄소를 측정하는 Pachama의 디지털 MRV를 시범 도입하였고, 태국에서는 2018년 Power Ledger와 BCPG가 방콕 T77 지구에서 블록체인 기반 P2P 재생에너지 거래를 시범 운영하였다.</w:t>
      </w:r>
    </w:p>
    <w:p>
      <w:pPr>
        <w:pStyle w:val="a6"/>
        <w:numPr>
          <w:ilvl w:val="0"/>
          <w:numId w:val="1"/>
        </w:numPr>
        <w:spacing w:after="0" w:line="240" w:lineRule="auto"/>
        <w:rPr>
          <w:sz w:val="20"/>
          <w:szCs w:val="20"/>
        </w:rPr>
      </w:pPr>
      <w:r>
        <w:rPr>
          <w:rFonts w:hint="eastAsia"/>
          <w:sz w:val="20"/>
          <w:szCs w:val="20"/>
        </w:rPr>
        <w:t xml:space="preserve">(Discussion) 기술이 거래를 투명하게 만들어도 크레딧의 품질 문제는 해결되지 않는다. 2021년 Toucan Protocol과 KlimaDAO는 Verra의 퇴역 크레딧 약 2,200만 톤을 토큰으로 만들었으나, 그중 상당수가 실제 감축 효과가 의심되는 오래된 저품질 크레딧이었고, Verra는 2022년 5월 퇴역 크레딧의 토큰화를 금지하였다(TIME, 2022). 2023년에는 Verra의 열대우림 상쇄 크레딧 중 90% 이상이 실제 감축이 없는 '유령 크레딧'일 가능성이 높다는 언론 조사도 나왔다. 블록체인은 기록의 위조를 막을 뿐, 처음부터 잘못된 데이터가 들어오는 것은 막지 못한다(오라클 문제).</w:t>
      </w:r>
    </w:p>
    <w:p>
      <w:pPr>
        <w:pStyle w:val="a6"/>
        <w:numPr>
          <w:ilvl w:val="0"/>
          <w:numId w:val="1"/>
        </w:numPr>
        <w:spacing w:after="0" w:line="240" w:lineRule="auto"/>
        <w:rPr>
          <w:sz w:val="20"/>
          <w:szCs w:val="20"/>
        </w:rPr>
      </w:pPr>
      <w:r>
        <w:rPr>
          <w:rFonts w:hint="eastAsia"/>
          <w:sz w:val="20"/>
          <w:szCs w:val="20"/>
        </w:rPr>
        <w:t xml:space="preserve">(Discussion) 혁신 솔루션은 아직 초기 단계라는 점도 고려해야 한다. Sipthorpe et al.(2022)이 탄소시장용 블록체인 솔루션을 개발하는 39개 조직을 조사한 결과 대부분이 개념 검증 수준(기술성숙도 3 이하)에 머물렀다. 또한 일부 블록체인은 전력 소비가 커서 탄소를 줄이려는 시스템이 오히려 탄소를 배출하는 모순이 생길 수 있으며, 기술로 만든 기록을 정부와 국제기구가 공식 감축 실적으로 인정하는 제도적 연계가 필요하다. 이러한 기술이 한국 배출권거래제(K-ETS)와 자발적 탄소시장에 어떻게 적용될 수 있는지 논의가 필요하다.</w:t>
      </w:r>
    </w:p>
    <w:p>
      <w:pPr>
        <w:pStyle w:val="a6"/>
        <w:spacing w:after="0" w:line="240" w:lineRule="auto"/>
        <w:rPr>
          <w:sz w:val="20"/>
          <w:szCs w:val="20"/>
        </w:rPr>
      </w:pPr>
    </w:p>
    <w:p>
      <w:pPr>
        <w:spacing w:after="0"/>
        <w:ind w:left="360"/>
        <w:rPr>
          <w:sz w:val="20"/>
          <w:szCs w:val="20"/>
        </w:rPr>
      </w:pPr>
      <w:r>
        <w:rPr>
          <w:rFonts w:hint="eastAsia"/>
          <w:sz w:val="20"/>
          <w:szCs w:val="20"/>
        </w:rPr>
        <w:t xml:space="preserve">[참고문헌] </w:t>
      </w:r>
    </w:p>
    <w:p>
      <w:pPr>
        <w:numPr>
          <w:ilvl w:val="0"/>
          <w:numId w:val="2"/>
        </w:numPr>
        <w:spacing w:after="0"/>
        <w:rPr>
          <w:sz w:val="20"/>
          <w:szCs w:val="20"/>
        </w:rPr>
      </w:pPr>
      <w:r>
        <w:rPr>
          <w:sz w:val="20"/>
          <w:szCs w:val="20"/>
        </w:rPr>
        <w:t xml:space="preserve">Khaqqi, K. N., Sikorski, J. J., Hadinoto, K., &amp; Kraft, M. (2018). </w:t>
      </w:r>
      <w:hyperlink r:id="rIdLink1" w:history="1">
        <w:r>
          <w:rPr>
            <w:rStyle w:val="aa"/>
            <w:sz w:val="20"/>
            <w:szCs w:val="20"/>
          </w:rPr>
          <w:t xml:space="preserve">Incorporating seller/buyer reputation-based system in blockchain-enabled emission trading application</w:t>
        </w:r>
      </w:hyperlink>
      <w:r>
        <w:rPr>
          <w:rFonts w:hint="eastAsia"/>
          <w:sz w:val="20"/>
          <w:szCs w:val="20"/>
        </w:rPr>
        <w:t xml:space="preserve">. Applied Energy, 209, 8–19.</w:t>
      </w:r>
    </w:p>
    <w:p>
      <w:pPr>
        <w:numPr>
          <w:ilvl w:val="0"/>
          <w:numId w:val="2"/>
        </w:numPr>
        <w:spacing w:after="0"/>
        <w:rPr>
          <w:sz w:val="20"/>
          <w:szCs w:val="20"/>
        </w:rPr>
      </w:pPr>
      <w:r>
        <w:rPr>
          <w:sz w:val="20"/>
          <w:szCs w:val="20"/>
        </w:rPr>
        <w:t xml:space="preserve">Hua, W., Jiang, J., Sun, H., &amp; Wu, J. (2020). </w:t>
      </w:r>
      <w:hyperlink r:id="rIdLink2" w:history="1">
        <w:r>
          <w:rPr>
            <w:rStyle w:val="aa"/>
            <w:sz w:val="20"/>
            <w:szCs w:val="20"/>
          </w:rPr>
          <w:t xml:space="preserve">A blockchain based peer-to-peer trading framework integrating energy and carbon markets</w:t>
        </w:r>
      </w:hyperlink>
      <w:r>
        <w:rPr>
          <w:rFonts w:hint="eastAsia"/>
          <w:sz w:val="20"/>
          <w:szCs w:val="20"/>
        </w:rPr>
        <w:t xml:space="preserve">. Applied Energy, 279, 115539.</w:t>
      </w:r>
    </w:p>
    <w:p>
      <w:pPr>
        <w:numPr>
          <w:ilvl w:val="0"/>
          <w:numId w:val="2"/>
        </w:numPr>
        <w:spacing w:after="0"/>
        <w:rPr>
          <w:sz w:val="20"/>
          <w:szCs w:val="20"/>
        </w:rPr>
      </w:pPr>
      <w:r>
        <w:rPr>
          <w:sz w:val="20"/>
          <w:szCs w:val="20"/>
        </w:rPr>
        <w:t xml:space="preserve">Woo, J., Fatima, R., Kibert, C. J., et al. (2021). </w:t>
      </w:r>
      <w:hyperlink r:id="rIdLink3" w:history="1">
        <w:r>
          <w:rPr>
            <w:rStyle w:val="aa"/>
            <w:sz w:val="20"/>
            <w:szCs w:val="20"/>
          </w:rPr>
          <w:t xml:space="preserve">Applying blockchain technology for building energy performance MRV and the carbon credit market: A review of the literature</w:t>
        </w:r>
      </w:hyperlink>
      <w:r>
        <w:rPr>
          <w:rFonts w:hint="eastAsia"/>
          <w:sz w:val="20"/>
          <w:szCs w:val="20"/>
        </w:rPr>
        <w:t xml:space="preserve">. Building and Environment, 205, 108199.</w:t>
      </w:r>
    </w:p>
    <w:p>
      <w:pPr>
        <w:numPr>
          <w:ilvl w:val="0"/>
          <w:numId w:val="2"/>
        </w:numPr>
        <w:spacing w:after="0"/>
        <w:rPr>
          <w:sz w:val="20"/>
          <w:szCs w:val="20"/>
        </w:rPr>
      </w:pPr>
      <w:r>
        <w:rPr>
          <w:sz w:val="20"/>
          <w:szCs w:val="20"/>
        </w:rPr>
        <w:t xml:space="preserve">Al Sadawi, A., Madani, B., Saboor, S., et al. (2021). </w:t>
      </w:r>
      <w:hyperlink r:id="rIdLink4" w:history="1">
        <w:r>
          <w:rPr>
            <w:rStyle w:val="aa"/>
            <w:sz w:val="20"/>
            <w:szCs w:val="20"/>
          </w:rPr>
          <w:t xml:space="preserve">A comprehensive hierarchical blockchain system for carbon emission trading utilizing blockchain of things and smart contract</w:t>
        </w:r>
      </w:hyperlink>
      <w:r>
        <w:rPr>
          <w:rFonts w:hint="eastAsia"/>
          <w:sz w:val="20"/>
          <w:szCs w:val="20"/>
        </w:rPr>
        <w:t xml:space="preserve">. Technological Forecasting and Social Change, 173, 121124.</w:t>
      </w:r>
    </w:p>
    <w:p>
      <w:pPr>
        <w:numPr>
          <w:ilvl w:val="0"/>
          <w:numId w:val="2"/>
        </w:numPr>
        <w:spacing w:after="0"/>
        <w:rPr>
          <w:sz w:val="20"/>
          <w:szCs w:val="20"/>
        </w:rPr>
      </w:pPr>
      <w:r>
        <w:rPr>
          <w:sz w:val="20"/>
          <w:szCs w:val="20"/>
        </w:rPr>
        <w:t xml:space="preserve">Fu, B., Shu, Z., &amp; Liu, X. (2018). </w:t>
      </w:r>
      <w:hyperlink r:id="rIdLink5" w:history="1">
        <w:r>
          <w:rPr>
            <w:rStyle w:val="aa"/>
            <w:sz w:val="20"/>
            <w:szCs w:val="20"/>
          </w:rPr>
          <w:t xml:space="preserve">Blockchain enhanced emission trading framework in fashion apparel manufacturing industry</w:t>
        </w:r>
      </w:hyperlink>
      <w:r>
        <w:rPr>
          <w:rFonts w:hint="eastAsia"/>
          <w:sz w:val="20"/>
          <w:szCs w:val="20"/>
        </w:rPr>
        <w:t xml:space="preserve">. Sustainability, 10(4), 1105. (사례: 4.1절 Case Study, 5절 다기준 평가)</w:t>
      </w:r>
    </w:p>
    <w:p>
      <w:pPr>
        <w:numPr>
          <w:ilvl w:val="0"/>
          <w:numId w:val="2"/>
        </w:numPr>
        <w:spacing w:after="0"/>
        <w:rPr>
          <w:sz w:val="20"/>
          <w:szCs w:val="20"/>
        </w:rPr>
      </w:pPr>
      <w:r>
        <w:rPr>
          <w:sz w:val="20"/>
          <w:szCs w:val="20"/>
        </w:rPr>
        <w:t xml:space="preserve">Sipthorpe, A., Brink, S., Van Leeuwen, T., &amp; Staffell, I. (2022). </w:t>
      </w:r>
      <w:hyperlink r:id="rIdLink6" w:history="1">
        <w:r>
          <w:rPr>
            <w:rStyle w:val="aa"/>
            <w:sz w:val="20"/>
            <w:szCs w:val="20"/>
          </w:rPr>
          <w:t xml:space="preserve">Blockchain solutions for carbon markets are nearing maturity</w:t>
        </w:r>
      </w:hyperlink>
      <w:r>
        <w:rPr>
          <w:rFonts w:hint="eastAsia"/>
          <w:sz w:val="20"/>
          <w:szCs w:val="20"/>
        </w:rPr>
        <w:t xml:space="preserve">. One Earth, 5(7), 779–791. (사례: 39개 블록체인 탄소시장 프로젝트 조사)</w:t>
      </w:r>
    </w:p>
    <w:p>
      <w:pPr>
        <w:numPr>
          <w:ilvl w:val="0"/>
          <w:numId w:val="2"/>
        </w:numPr>
        <w:spacing w:after="0"/>
        <w:rPr>
          <w:sz w:val="20"/>
          <w:szCs w:val="20"/>
        </w:rPr>
      </w:pPr>
      <w:r>
        <w:rPr>
          <w:sz w:val="20"/>
          <w:szCs w:val="20"/>
        </w:rPr>
        <w:t xml:space="preserve">Kreibich, N., &amp; Hermwille, L. (2021). </w:t>
      </w:r>
      <w:hyperlink r:id="rIdLink7" w:history="1">
        <w:r>
          <w:rPr>
            <w:rStyle w:val="aa"/>
            <w:sz w:val="20"/>
            <w:szCs w:val="20"/>
          </w:rPr>
          <w:t xml:space="preserve">Caught in between: credibility and feasibility of the voluntary carbon market post-2020</w:t>
        </w:r>
      </w:hyperlink>
      <w:r>
        <w:rPr>
          <w:rFonts w:hint="eastAsia"/>
          <w:sz w:val="20"/>
          <w:szCs w:val="20"/>
        </w:rPr>
        <w:t xml:space="preserve">. Climate Policy, 21(7), 939–957.</w:t>
      </w:r>
    </w:p>
    <w:p>
      <w:pPr>
        <w:numPr>
          <w:ilvl w:val="0"/>
          <w:numId w:val="2"/>
        </w:numPr>
        <w:spacing w:after="0"/>
        <w:rPr>
          <w:sz w:val="20"/>
          <w:szCs w:val="20"/>
        </w:rPr>
      </w:pPr>
      <w:r>
        <w:rPr>
          <w:sz w:val="20"/>
          <w:szCs w:val="20"/>
        </w:rPr>
        <w:t xml:space="preserve">Europol (2009.12.9). </w:t>
      </w:r>
      <w:hyperlink r:id="rIdLink8" w:history="1">
        <w:r>
          <w:rPr>
            <w:rStyle w:val="aa"/>
            <w:sz w:val="20"/>
            <w:szCs w:val="20"/>
          </w:rPr>
          <w:t xml:space="preserve">Carbon credit fraud causes more than 5 billion euros damage for European taxpayer</w:t>
        </w:r>
      </w:hyperlink>
      <w:r>
        <w:rPr>
          <w:rFonts w:hint="eastAsia"/>
          <w:sz w:val="20"/>
          <w:szCs w:val="20"/>
        </w:rPr>
        <w:t xml:space="preserve">.</w:t>
      </w:r>
    </w:p>
    <w:p>
      <w:pPr>
        <w:numPr>
          <w:ilvl w:val="0"/>
          <w:numId w:val="2"/>
        </w:numPr>
        <w:spacing w:after="0"/>
        <w:rPr>
          <w:sz w:val="20"/>
          <w:szCs w:val="20"/>
        </w:rPr>
      </w:pPr>
      <w:r>
        <w:rPr>
          <w:sz w:val="20"/>
          <w:szCs w:val="20"/>
        </w:rPr>
        <w:t xml:space="preserve">I4CE (2011). </w:t>
      </w:r>
      <w:hyperlink r:id="rIdLink9" w:history="1">
        <w:r>
          <w:rPr>
            <w:rStyle w:val="aa"/>
            <w:sz w:val="20"/>
            <w:szCs w:val="20"/>
          </w:rPr>
          <w:t xml:space="preserve">Closing the door to fraud in the EU ETS</w:t>
        </w:r>
      </w:hyperlink>
      <w:r>
        <w:rPr>
          <w:rFonts w:hint="eastAsia"/>
          <w:sz w:val="20"/>
          <w:szCs w:val="20"/>
        </w:rPr>
        <w:t xml:space="preserve">. Climate Brief No. 4.</w:t>
      </w:r>
    </w:p>
    <w:p>
      <w:pPr>
        <w:numPr>
          <w:ilvl w:val="0"/>
          <w:numId w:val="2"/>
        </w:numPr>
        <w:spacing w:after="0"/>
        <w:rPr>
          <w:sz w:val="20"/>
          <w:szCs w:val="20"/>
        </w:rPr>
      </w:pPr>
      <w:r>
        <w:rPr>
          <w:sz w:val="20"/>
          <w:szCs w:val="20"/>
        </w:rPr>
        <w:t xml:space="preserve">World Bank Blogs (2023.3.7). </w:t>
      </w:r>
      <w:hyperlink r:id="rIdLink10" w:history="1">
        <w:r>
          <w:rPr>
            <w:rStyle w:val="aa"/>
            <w:sz w:val="20"/>
            <w:szCs w:val="20"/>
          </w:rPr>
          <w:t xml:space="preserve">Why data infrastructure is key for a transparent carbon market</w:t>
        </w:r>
      </w:hyperlink>
      <w:r>
        <w:rPr>
          <w:rFonts w:hint="eastAsia"/>
          <w:sz w:val="20"/>
          <w:szCs w:val="20"/>
        </w:rPr>
        <w:t xml:space="preserve">.</w:t>
      </w:r>
    </w:p>
    <w:p>
      <w:pPr>
        <w:numPr>
          <w:ilvl w:val="0"/>
          <w:numId w:val="2"/>
        </w:numPr>
        <w:spacing w:after="0"/>
        <w:rPr>
          <w:sz w:val="20"/>
          <w:szCs w:val="20"/>
        </w:rPr>
      </w:pPr>
      <w:r>
        <w:rPr>
          <w:sz w:val="20"/>
          <w:szCs w:val="20"/>
        </w:rPr>
        <w:t xml:space="preserve">Verra (2022.11.16). </w:t>
      </w:r>
      <w:hyperlink r:id="rIdLink11" w:history="1">
        <w:r>
          <w:rPr>
            <w:rStyle w:val="aa"/>
            <w:sz w:val="20"/>
            <w:szCs w:val="20"/>
          </w:rPr>
          <w:t xml:space="preserve">World's largest carbon program pilots digital measuring of forest carbon</w:t>
        </w:r>
      </w:hyperlink>
      <w:r>
        <w:rPr>
          <w:rFonts w:hint="eastAsia"/>
          <w:sz w:val="20"/>
          <w:szCs w:val="20"/>
        </w:rPr>
        <w:t xml:space="preserve">.</w:t>
      </w:r>
    </w:p>
    <w:p>
      <w:pPr>
        <w:numPr>
          <w:ilvl w:val="0"/>
          <w:numId w:val="2"/>
        </w:numPr>
        <w:spacing w:after="0"/>
        <w:rPr>
          <w:sz w:val="20"/>
          <w:szCs w:val="20"/>
        </w:rPr>
      </w:pPr>
      <w:r>
        <w:rPr>
          <w:sz w:val="20"/>
          <w:szCs w:val="20"/>
        </w:rPr>
        <w:t xml:space="preserve">Power Ledger (2020.5.25). </w:t>
      </w:r>
      <w:hyperlink r:id="rIdLink12" w:history="1">
        <w:r>
          <w:rPr>
            <w:rStyle w:val="aa"/>
            <w:sz w:val="20"/>
            <w:szCs w:val="20"/>
          </w:rPr>
          <w:t xml:space="preserve">Power Ledger signed an exclusive partnership with TDED in Thailand</w:t>
        </w:r>
      </w:hyperlink>
      <w:r>
        <w:rPr>
          <w:rFonts w:hint="eastAsia"/>
          <w:sz w:val="20"/>
          <w:szCs w:val="20"/>
        </w:rPr>
        <w:t xml:space="preserve">.</w:t>
      </w:r>
    </w:p>
    <w:p>
      <w:pPr>
        <w:numPr>
          <w:ilvl w:val="0"/>
          <w:numId w:val="2"/>
        </w:numPr>
        <w:spacing w:after="0"/>
        <w:rPr>
          <w:sz w:val="20"/>
          <w:szCs w:val="20"/>
        </w:rPr>
      </w:pPr>
      <w:r>
        <w:rPr>
          <w:sz w:val="20"/>
          <w:szCs w:val="20"/>
        </w:rPr>
        <w:t xml:space="preserve">TIME (2022.5.26). </w:t>
      </w:r>
      <w:hyperlink r:id="rIdLink13" w:history="1">
        <w:r>
          <w:rPr>
            <w:rStyle w:val="aa"/>
            <w:sz w:val="20"/>
            <w:szCs w:val="20"/>
          </w:rPr>
          <w:t xml:space="preserve">Crypto carbon credits and Verra's tokenization ban</w:t>
        </w:r>
      </w:hyperlink>
      <w:r>
        <w:rPr>
          <w:rFonts w:hint="eastAsia"/>
          <w:sz w:val="20"/>
          <w:szCs w:val="20"/>
        </w:rPr>
        <w:t xml:space="preserve">.</w:t>
      </w:r>
    </w:p>
    <w:p>
      <w:pPr>
        <w:numPr>
          <w:ilvl w:val="0"/>
          <w:numId w:val="2"/>
        </w:numPr>
        <w:spacing w:after="0"/>
        <w:rPr>
          <w:sz w:val="20"/>
          <w:szCs w:val="20"/>
        </w:rPr>
      </w:pPr>
      <w:r>
        <w:rPr>
          <w:sz w:val="20"/>
          <w:szCs w:val="20"/>
        </w:rPr>
        <w:t xml:space="preserve">Space Daily/AFP (2023.1.18). </w:t>
      </w:r>
      <w:hyperlink r:id="rIdLink14" w:history="1">
        <w:r>
          <w:rPr>
            <w:rStyle w:val="aa"/>
            <w:sz w:val="20"/>
            <w:szCs w:val="20"/>
          </w:rPr>
          <w:t xml:space="preserve">Most rainforest carbon offsets worthless: media analysis</w:t>
        </w:r>
      </w:hyperlink>
      <w:r>
        <w:rPr>
          <w:rFonts w:hint="eastAsia"/>
          <w:sz w:val="20"/>
          <w:szCs w:val="20"/>
        </w:rPr>
        <w:t xml:space="preserve">.</w:t>
      </w:r>
    </w:p>
    <w:sectPr w:rsidR="00EC5478" w:rsidRPr="0014587C">
      <w:pgSz w:w="12240" w:h="15840"/>
      <w:pgMar w:top="170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5A3B4F"/>
    <w:multiLevelType w:val="hybridMultilevel"/>
    <w:tmpl w:val="5358F0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87098A"/>
    <w:multiLevelType w:val="multilevel"/>
    <w:tmpl w:val="5D48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0899009">
    <w:abstractNumId w:val="0"/>
  </w:num>
  <w:num w:numId="2" w16cid:durableId="1262448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FFD"/>
    <w:rsid w:val="000D5C0B"/>
    <w:rsid w:val="0014587C"/>
    <w:rsid w:val="00157FFD"/>
    <w:rsid w:val="002F0306"/>
    <w:rsid w:val="004A510A"/>
    <w:rsid w:val="005F6423"/>
    <w:rsid w:val="00853E49"/>
    <w:rsid w:val="008C3F92"/>
    <w:rsid w:val="009E5B90"/>
    <w:rsid w:val="00C62C00"/>
    <w:rsid w:val="00EB40E1"/>
    <w:rsid w:val="00EC5478"/>
    <w:rsid w:val="00F90FF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2CB4B"/>
  <w15:chartTrackingRefBased/>
  <w15:docId w15:val="{7895DF0F-6A94-4C2E-93A0-D4A007C38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157FF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2">
    <w:name w:val="heading 2"/>
    <w:basedOn w:val="a"/>
    <w:next w:val="a"/>
    <w:link w:val="2Char"/>
    <w:uiPriority w:val="9"/>
    <w:semiHidden/>
    <w:unhideWhenUsed/>
    <w:qFormat/>
    <w:rsid w:val="00157FF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3">
    <w:name w:val="heading 3"/>
    <w:basedOn w:val="a"/>
    <w:next w:val="a"/>
    <w:link w:val="3Char"/>
    <w:uiPriority w:val="9"/>
    <w:semiHidden/>
    <w:unhideWhenUsed/>
    <w:qFormat/>
    <w:rsid w:val="00157FFD"/>
    <w:pPr>
      <w:keepNext/>
      <w:keepLines/>
      <w:spacing w:before="160" w:after="80"/>
      <w:outlineLvl w:val="2"/>
    </w:pPr>
    <w:rPr>
      <w:rFonts w:eastAsiaTheme="majorEastAsia" w:cstheme="majorBidi"/>
      <w:color w:val="365F91" w:themeColor="accent1" w:themeShade="BF"/>
      <w:sz w:val="28"/>
      <w:szCs w:val="28"/>
    </w:rPr>
  </w:style>
  <w:style w:type="paragraph" w:styleId="4">
    <w:name w:val="heading 4"/>
    <w:basedOn w:val="a"/>
    <w:next w:val="a"/>
    <w:link w:val="4Char"/>
    <w:uiPriority w:val="9"/>
    <w:semiHidden/>
    <w:unhideWhenUsed/>
    <w:qFormat/>
    <w:rsid w:val="00157FFD"/>
    <w:pPr>
      <w:keepNext/>
      <w:keepLines/>
      <w:spacing w:before="80" w:after="40"/>
      <w:outlineLvl w:val="3"/>
    </w:pPr>
    <w:rPr>
      <w:rFonts w:eastAsiaTheme="majorEastAsia" w:cstheme="majorBidi"/>
      <w:i/>
      <w:iCs/>
      <w:color w:val="365F91" w:themeColor="accent1" w:themeShade="BF"/>
    </w:rPr>
  </w:style>
  <w:style w:type="paragraph" w:styleId="5">
    <w:name w:val="heading 5"/>
    <w:basedOn w:val="a"/>
    <w:next w:val="a"/>
    <w:link w:val="5Char"/>
    <w:uiPriority w:val="9"/>
    <w:semiHidden/>
    <w:unhideWhenUsed/>
    <w:qFormat/>
    <w:rsid w:val="00157FFD"/>
    <w:pPr>
      <w:keepNext/>
      <w:keepLines/>
      <w:spacing w:before="80" w:after="40"/>
      <w:outlineLvl w:val="4"/>
    </w:pPr>
    <w:rPr>
      <w:rFonts w:eastAsiaTheme="majorEastAsia" w:cstheme="majorBidi"/>
      <w:color w:val="365F91" w:themeColor="accent1" w:themeShade="BF"/>
    </w:rPr>
  </w:style>
  <w:style w:type="paragraph" w:styleId="6">
    <w:name w:val="heading 6"/>
    <w:basedOn w:val="a"/>
    <w:next w:val="a"/>
    <w:link w:val="6Char"/>
    <w:uiPriority w:val="9"/>
    <w:semiHidden/>
    <w:unhideWhenUsed/>
    <w:qFormat/>
    <w:rsid w:val="00157FF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57FF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57FF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57FF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57FFD"/>
    <w:rPr>
      <w:rFonts w:asciiTheme="majorHAnsi" w:eastAsiaTheme="majorEastAsia" w:hAnsiTheme="majorHAnsi" w:cstheme="majorBidi"/>
      <w:color w:val="365F91" w:themeColor="accent1" w:themeShade="BF"/>
      <w:sz w:val="40"/>
      <w:szCs w:val="40"/>
    </w:rPr>
  </w:style>
  <w:style w:type="character" w:customStyle="1" w:styleId="2Char">
    <w:name w:val="제목 2 Char"/>
    <w:basedOn w:val="a0"/>
    <w:link w:val="2"/>
    <w:uiPriority w:val="9"/>
    <w:semiHidden/>
    <w:rsid w:val="00157FFD"/>
    <w:rPr>
      <w:rFonts w:asciiTheme="majorHAnsi" w:eastAsiaTheme="majorEastAsia" w:hAnsiTheme="majorHAnsi" w:cstheme="majorBidi"/>
      <w:color w:val="365F91" w:themeColor="accent1" w:themeShade="BF"/>
      <w:sz w:val="32"/>
      <w:szCs w:val="32"/>
    </w:rPr>
  </w:style>
  <w:style w:type="character" w:customStyle="1" w:styleId="3Char">
    <w:name w:val="제목 3 Char"/>
    <w:basedOn w:val="a0"/>
    <w:link w:val="3"/>
    <w:uiPriority w:val="9"/>
    <w:semiHidden/>
    <w:rsid w:val="00157FFD"/>
    <w:rPr>
      <w:rFonts w:eastAsiaTheme="majorEastAsia" w:cstheme="majorBidi"/>
      <w:color w:val="365F91" w:themeColor="accent1" w:themeShade="BF"/>
      <w:sz w:val="28"/>
      <w:szCs w:val="28"/>
    </w:rPr>
  </w:style>
  <w:style w:type="character" w:customStyle="1" w:styleId="4Char">
    <w:name w:val="제목 4 Char"/>
    <w:basedOn w:val="a0"/>
    <w:link w:val="4"/>
    <w:uiPriority w:val="9"/>
    <w:semiHidden/>
    <w:rsid w:val="00157FFD"/>
    <w:rPr>
      <w:rFonts w:eastAsiaTheme="majorEastAsia" w:cstheme="majorBidi"/>
      <w:i/>
      <w:iCs/>
      <w:color w:val="365F91" w:themeColor="accent1" w:themeShade="BF"/>
    </w:rPr>
  </w:style>
  <w:style w:type="character" w:customStyle="1" w:styleId="5Char">
    <w:name w:val="제목 5 Char"/>
    <w:basedOn w:val="a0"/>
    <w:link w:val="5"/>
    <w:uiPriority w:val="9"/>
    <w:semiHidden/>
    <w:rsid w:val="00157FFD"/>
    <w:rPr>
      <w:rFonts w:eastAsiaTheme="majorEastAsia" w:cstheme="majorBidi"/>
      <w:color w:val="365F91" w:themeColor="accent1" w:themeShade="BF"/>
    </w:rPr>
  </w:style>
  <w:style w:type="character" w:customStyle="1" w:styleId="6Char">
    <w:name w:val="제목 6 Char"/>
    <w:basedOn w:val="a0"/>
    <w:link w:val="6"/>
    <w:uiPriority w:val="9"/>
    <w:semiHidden/>
    <w:rsid w:val="00157FFD"/>
    <w:rPr>
      <w:rFonts w:eastAsiaTheme="majorEastAsia" w:cstheme="majorBidi"/>
      <w:i/>
      <w:iCs/>
      <w:color w:val="595959" w:themeColor="text1" w:themeTint="A6"/>
    </w:rPr>
  </w:style>
  <w:style w:type="character" w:customStyle="1" w:styleId="7Char">
    <w:name w:val="제목 7 Char"/>
    <w:basedOn w:val="a0"/>
    <w:link w:val="7"/>
    <w:uiPriority w:val="9"/>
    <w:semiHidden/>
    <w:rsid w:val="00157FFD"/>
    <w:rPr>
      <w:rFonts w:eastAsiaTheme="majorEastAsia" w:cstheme="majorBidi"/>
      <w:color w:val="595959" w:themeColor="text1" w:themeTint="A6"/>
    </w:rPr>
  </w:style>
  <w:style w:type="character" w:customStyle="1" w:styleId="8Char">
    <w:name w:val="제목 8 Char"/>
    <w:basedOn w:val="a0"/>
    <w:link w:val="8"/>
    <w:uiPriority w:val="9"/>
    <w:semiHidden/>
    <w:rsid w:val="00157FFD"/>
    <w:rPr>
      <w:rFonts w:eastAsiaTheme="majorEastAsia" w:cstheme="majorBidi"/>
      <w:i/>
      <w:iCs/>
      <w:color w:val="272727" w:themeColor="text1" w:themeTint="D8"/>
    </w:rPr>
  </w:style>
  <w:style w:type="character" w:customStyle="1" w:styleId="9Char">
    <w:name w:val="제목 9 Char"/>
    <w:basedOn w:val="a0"/>
    <w:link w:val="9"/>
    <w:uiPriority w:val="9"/>
    <w:semiHidden/>
    <w:rsid w:val="00157FFD"/>
    <w:rPr>
      <w:rFonts w:eastAsiaTheme="majorEastAsia" w:cstheme="majorBidi"/>
      <w:color w:val="272727" w:themeColor="text1" w:themeTint="D8"/>
    </w:rPr>
  </w:style>
  <w:style w:type="paragraph" w:styleId="a3">
    <w:name w:val="Title"/>
    <w:basedOn w:val="a"/>
    <w:next w:val="a"/>
    <w:link w:val="Char"/>
    <w:uiPriority w:val="10"/>
    <w:qFormat/>
    <w:rsid w:val="00157F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57FF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57FFD"/>
    <w:pPr>
      <w:numPr>
        <w:ilvl w:val="1"/>
      </w:numPr>
      <w:spacing w:after="160"/>
    </w:pPr>
    <w:rPr>
      <w:rFonts w:eastAsiaTheme="majorEastAsia" w:cstheme="majorBidi"/>
      <w:color w:val="595959" w:themeColor="text1" w:themeTint="A6"/>
      <w:spacing w:val="15"/>
      <w:sz w:val="28"/>
      <w:szCs w:val="28"/>
    </w:rPr>
  </w:style>
  <w:style w:type="character" w:customStyle="1" w:styleId="Char0">
    <w:name w:val="부제 Char"/>
    <w:basedOn w:val="a0"/>
    <w:link w:val="a4"/>
    <w:uiPriority w:val="11"/>
    <w:rsid w:val="00157FFD"/>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57FFD"/>
    <w:pPr>
      <w:spacing w:before="160" w:after="160"/>
      <w:jc w:val="center"/>
    </w:pPr>
    <w:rPr>
      <w:i/>
      <w:iCs/>
      <w:color w:val="404040" w:themeColor="text1" w:themeTint="BF"/>
    </w:rPr>
  </w:style>
  <w:style w:type="character" w:customStyle="1" w:styleId="Char1">
    <w:name w:val="인용 Char"/>
    <w:basedOn w:val="a0"/>
    <w:link w:val="a5"/>
    <w:uiPriority w:val="29"/>
    <w:rsid w:val="00157FFD"/>
    <w:rPr>
      <w:i/>
      <w:iCs/>
      <w:color w:val="404040" w:themeColor="text1" w:themeTint="BF"/>
    </w:rPr>
  </w:style>
  <w:style w:type="paragraph" w:styleId="a6">
    <w:name w:val="List Paragraph"/>
    <w:basedOn w:val="a"/>
    <w:uiPriority w:val="34"/>
    <w:qFormat/>
    <w:rsid w:val="00157FFD"/>
    <w:pPr>
      <w:ind w:left="720"/>
      <w:contextualSpacing/>
    </w:pPr>
  </w:style>
  <w:style w:type="character" w:styleId="a7">
    <w:name w:val="Intense Emphasis"/>
    <w:basedOn w:val="a0"/>
    <w:uiPriority w:val="21"/>
    <w:qFormat/>
    <w:rsid w:val="00157FFD"/>
    <w:rPr>
      <w:i/>
      <w:iCs/>
      <w:color w:val="365F91" w:themeColor="accent1" w:themeShade="BF"/>
    </w:rPr>
  </w:style>
  <w:style w:type="paragraph" w:styleId="a8">
    <w:name w:val="Intense Quote"/>
    <w:basedOn w:val="a"/>
    <w:next w:val="a"/>
    <w:link w:val="Char2"/>
    <w:uiPriority w:val="30"/>
    <w:qFormat/>
    <w:rsid w:val="00157FF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2">
    <w:name w:val="강한 인용 Char"/>
    <w:basedOn w:val="a0"/>
    <w:link w:val="a8"/>
    <w:uiPriority w:val="30"/>
    <w:rsid w:val="00157FFD"/>
    <w:rPr>
      <w:i/>
      <w:iCs/>
      <w:color w:val="365F91" w:themeColor="accent1" w:themeShade="BF"/>
    </w:rPr>
  </w:style>
  <w:style w:type="character" w:styleId="a9">
    <w:name w:val="Intense Reference"/>
    <w:basedOn w:val="a0"/>
    <w:uiPriority w:val="32"/>
    <w:qFormat/>
    <w:rsid w:val="00157FFD"/>
    <w:rPr>
      <w:b/>
      <w:bCs/>
      <w:smallCaps/>
      <w:color w:val="365F91" w:themeColor="accent1" w:themeShade="BF"/>
      <w:spacing w:val="5"/>
    </w:rPr>
  </w:style>
  <w:style w:type="character" w:styleId="aa">
    <w:name w:val="Hyperlink"/>
    <w:basedOn w:val="a0"/>
    <w:uiPriority w:val="99"/>
    <w:unhideWhenUsed/>
    <w:rsid w:val="00EC5478"/>
    <w:rPr>
      <w:color w:val="0000FF" w:themeColor="hyperlink"/>
      <w:u w:val="single"/>
    </w:rPr>
  </w:style>
  <w:style w:type="character" w:styleId="ab">
    <w:name w:val="Unresolved Mention"/>
    <w:basedOn w:val="a0"/>
    <w:uiPriority w:val="99"/>
    <w:semiHidden/>
    <w:unhideWhenUsed/>
    <w:rsid w:val="00EC54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4" Type="http://schemas.openxmlformats.org/officeDocument/2006/relationships/webSettings" Target="webSettings.xml"/><Relationship Id="rId9" Type="http://schemas.openxmlformats.org/officeDocument/2006/relationships/theme" Target="theme/theme1.xml"/><Relationship Id="rIdLink1" Type="http://schemas.openxmlformats.org/officeDocument/2006/relationships/hyperlink" Target="https://doi.org/10.1016/j.apenergy.2017.10.070" TargetMode="External"/><Relationship Id="rIdLink2" Type="http://schemas.openxmlformats.org/officeDocument/2006/relationships/hyperlink" Target="https://doi.org/10.1016/j.apenergy.2020.115539" TargetMode="External"/><Relationship Id="rIdLink3" Type="http://schemas.openxmlformats.org/officeDocument/2006/relationships/hyperlink" Target="https://doi.org/10.1016/j.buildenv.2021.108199" TargetMode="External"/><Relationship Id="rIdLink4" Type="http://schemas.openxmlformats.org/officeDocument/2006/relationships/hyperlink" Target="https://doi.org/10.1016/j.techfore.2021.121124" TargetMode="External"/><Relationship Id="rIdLink5" Type="http://schemas.openxmlformats.org/officeDocument/2006/relationships/hyperlink" Target="https://www.mdpi.com/2071-1050/10/4/1105" TargetMode="External"/><Relationship Id="rIdLink6" Type="http://schemas.openxmlformats.org/officeDocument/2006/relationships/hyperlink" Target="https://doi.org/10.1016/j.oneear.2022.06.004" TargetMode="External"/><Relationship Id="rIdLink7" Type="http://schemas.openxmlformats.org/officeDocument/2006/relationships/hyperlink" Target="https://doi.org/10.1080/14693062.2021.1948384" TargetMode="External"/><Relationship Id="rIdLink8" Type="http://schemas.openxmlformats.org/officeDocument/2006/relationships/hyperlink" Target="https://europeansources.info/?p=436389" TargetMode="External"/><Relationship Id="rIdLink9" Type="http://schemas.openxmlformats.org/officeDocument/2006/relationships/hyperlink" Target="https://www.i4ce.org/wp-content/uploads/11-02-Climate-Brief-4-Closing-the-door-to-fraud-in-the-EU-ETS.pdf" TargetMode="External"/><Relationship Id="rIdLink10" Type="http://schemas.openxmlformats.org/officeDocument/2006/relationships/hyperlink" Target="https://blogs.worldbank.org/en/climatechange/why-data-infrastructure-key-transparent-carbon-market" TargetMode="External"/><Relationship Id="rIdLink11" Type="http://schemas.openxmlformats.org/officeDocument/2006/relationships/hyperlink" Target="https://verra.org/worlds-largest-carbon-program-pilots-digital-measuring-of-forest-carbon/" TargetMode="External"/><Relationship Id="rIdLink12" Type="http://schemas.openxmlformats.org/officeDocument/2006/relationships/hyperlink" Target="https://www.powerledger.io/media/power-ledger-signed-an-exclusive-partnership-with-tded-to-accelerate-blockchain-based-digital-energy-business-in-thailand" TargetMode="External"/><Relationship Id="rIdLink13" Type="http://schemas.openxmlformats.org/officeDocument/2006/relationships/hyperlink" Target="https://time.com/6181907/crypto-carbon-credits/" TargetMode="External"/><Relationship Id="rIdLink14" Type="http://schemas.openxmlformats.org/officeDocument/2006/relationships/hyperlink" Target="https://www.solardaily.com/reports/Most_rainforest_carbon_offsets_worthless_media_analysis_999.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305</Words>
  <Characters>1743</Characters>
  <Application>Microsoft Office Word</Application>
  <DocSecurity>0</DocSecurity>
  <Lines>14</Lines>
  <Paragraphs>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bona kim</dc:creator>
  <cp:keywords/>
  <dc:description/>
  <cp:lastModifiedBy>bona kim</cp:lastModifiedBy>
  <cp:revision>3</cp:revision>
  <dcterms:created xsi:type="dcterms:W3CDTF">2026-09-29T15:21:00Z</dcterms:created>
  <dcterms:modified xsi:type="dcterms:W3CDTF">2026-09-29T15:23:00Z</dcterms:modified>
</cp:coreProperties>
</file>