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64" w:lineRule="auto"/>
      </w:pPr>
      <w:r>
        <w:rPr>
          <w:rFonts w:ascii="Arial" w:hAnsi="Arial" w:cs="Arial" w:eastAsia="Arial"/>
          <w:b/>
          <w:i w:val="0"/>
          <w:color w:val="2E74B5"/>
          <w:sz w:val="20"/>
        </w:rPr>
        <w:t>技术可行性评估</w:t>
      </w:r>
    </w:p>
    <w:p>
      <w:pPr>
        <w:keepNext w:val="0"/>
        <w:spacing w:before="0" w:after="100" w:line="252" w:lineRule="auto"/>
      </w:pPr>
      <w:r>
        <w:rPr>
          <w:rFonts w:ascii="Arial" w:hAnsi="Arial" w:cs="Arial" w:eastAsia="Arial"/>
          <w:b/>
          <w:i w:val="0"/>
          <w:color w:val="000000"/>
          <w:sz w:val="40"/>
        </w:rPr>
        <w:t>Trust Graph 接入 CogSeed 可行性评估与落地方案</w:t>
      </w:r>
    </w:p>
    <w:p>
      <w:pPr>
        <w:keepNext w:val="0"/>
        <w:spacing w:before="0" w:after="200" w:line="276" w:lineRule="auto"/>
      </w:pPr>
      <w:r>
        <w:rPr>
          <w:rFonts w:ascii="Arial" w:hAnsi="Arial" w:cs="Arial" w:eastAsia="Arial"/>
          <w:b w:val="0"/>
          <w:i w:val="0"/>
          <w:color w:val="555555"/>
          <w:sz w:val="24"/>
        </w:rPr>
        <w:t>结论：概念高度匹配。建议把 Trust Graph 作为授权模型设计源，在 TypeScript 中移植 Grant 链与动作级校验，不直接引入 Python 运行时。</w:t>
      </w:r>
    </w:p>
    <w:p>
      <w:pPr>
        <w:keepNext w:val="0"/>
        <w:spacing w:before="0" w:after="40" w:line="264" w:lineRule="auto"/>
      </w:pPr>
      <w:r>
        <w:rPr>
          <w:rFonts w:ascii="Arial" w:hAnsi="Arial" w:cs="Arial" w:eastAsia="Arial"/>
          <w:b/>
          <w:i w:val="0"/>
          <w:color w:val="0B2545"/>
          <w:sz w:val="22"/>
        </w:rPr>
        <w:t>文档类型:</w:t>
      </w:r>
      <w:r>
        <w:rPr>
          <w:rFonts w:ascii="Arial" w:hAnsi="Arial" w:cs="Arial" w:eastAsia="Arial"/>
          <w:b w:val="0"/>
          <w:i w:val="0"/>
          <w:color w:val="0B2545"/>
          <w:sz w:val="22"/>
        </w:rPr>
        <w:t>技术可行性评估与分期接入方案</w:t>
      </w:r>
    </w:p>
    <w:p>
      <w:pPr>
        <w:keepNext w:val="0"/>
        <w:spacing w:before="0" w:after="40" w:line="264" w:lineRule="auto"/>
      </w:pPr>
      <w:r>
        <w:rPr>
          <w:rFonts w:ascii="Arial" w:hAnsi="Arial" w:cs="Arial" w:eastAsia="Arial"/>
          <w:b/>
          <w:i w:val="0"/>
          <w:color w:val="0B2545"/>
          <w:sz w:val="22"/>
        </w:rPr>
        <w:t>评估日期:</w:t>
      </w:r>
      <w:r>
        <w:rPr>
          <w:rFonts w:ascii="Arial" w:hAnsi="Arial" w:cs="Arial" w:eastAsia="Arial"/>
          <w:b w:val="0"/>
          <w:i w:val="0"/>
          <w:color w:val="0B2545"/>
          <w:sz w:val="22"/>
        </w:rPr>
        <w:t>2026-08-14</w:t>
      </w:r>
    </w:p>
    <w:p>
      <w:pPr>
        <w:keepNext w:val="0"/>
        <w:spacing w:before="0" w:after="40" w:line="264" w:lineRule="auto"/>
      </w:pPr>
      <w:r>
        <w:rPr>
          <w:rFonts w:ascii="Arial" w:hAnsi="Arial" w:cs="Arial" w:eastAsia="Arial"/>
          <w:b/>
          <w:i w:val="0"/>
          <w:color w:val="0B2545"/>
          <w:sz w:val="22"/>
        </w:rPr>
        <w:t>适用对象:</w:t>
      </w:r>
      <w:r>
        <w:rPr>
          <w:rFonts w:ascii="Arial" w:hAnsi="Arial" w:cs="Arial" w:eastAsia="Arial"/>
          <w:b w:val="0"/>
          <w:i w:val="0"/>
          <w:color w:val="0B2545"/>
          <w:sz w:val="22"/>
        </w:rPr>
        <w:t>产品、架构、后端与安全评审</w:t>
      </w:r>
    </w:p>
    <w:p>
      <w:pPr>
        <w:keepNext w:val="0"/>
        <w:spacing w:before="0" w:after="40" w:line="264" w:lineRule="auto"/>
      </w:pPr>
      <w:r>
        <w:rPr>
          <w:rFonts w:ascii="Arial" w:hAnsi="Arial" w:cs="Arial" w:eastAsia="Arial"/>
          <w:b/>
          <w:i w:val="0"/>
          <w:color w:val="0B2545"/>
          <w:sz w:val="22"/>
        </w:rPr>
        <w:t>当前状态:</w:t>
      </w:r>
      <w:r>
        <w:rPr>
          <w:rFonts w:ascii="Arial" w:hAnsi="Arial" w:cs="Arial" w:eastAsia="Arial"/>
          <w:b w:val="0"/>
          <w:i w:val="0"/>
          <w:color w:val="0B2545"/>
          <w:sz w:val="22"/>
        </w:rPr>
        <w:t>方案待决策；未落地实现</w:t>
      </w:r>
    </w:p>
    <w:p>
      <w:pPr>
        <w:keepNext w:val="0"/>
        <w:spacing w:before="0" w:after="40" w:line="264" w:lineRule="auto"/>
      </w:pPr>
      <w:r>
        <w:rPr>
          <w:rFonts w:ascii="Arial" w:hAnsi="Arial" w:cs="Arial" w:eastAsia="Arial"/>
          <w:b/>
          <w:i w:val="0"/>
          <w:color w:val="0B2545"/>
          <w:sz w:val="22"/>
        </w:rPr>
        <w:t>核心约束:</w:t>
      </w:r>
      <w:r>
        <w:rPr>
          <w:rFonts w:ascii="Arial" w:hAnsi="Arial" w:cs="Arial" w:eastAsia="Arial"/>
          <w:b w:val="0"/>
          <w:i w:val="0"/>
          <w:color w:val="0B2545"/>
          <w:sz w:val="22"/>
        </w:rPr>
        <w:t>CogSeed 为单进程 Electron，子进程受现有 choke point 管理</w:t>
      </w:r>
    </w:p>
    <w:p>
      <w:pPr>
        <w:keepNext w:val="0"/>
        <w:spacing w:before="40" w:after="200" w:line="240" w:lineRule="auto"/>
        <w:pBdr>
          <w:bottom w:val="single" w:sz="8" w:space="1" w:color="2E74B5"/>
        </w:pBdr>
      </w:pPr>
    </w:p>
    <w:p>
      <w:pPr>
        <w:keepNext w:val="0"/>
        <w:spacing w:before="80" w:after="200" w:line="264" w:lineRule="auto"/>
        <w:shd w:val="clear" w:color="auto" w:fill="F4F6F9"/>
        <w:pBdr>
          <w:left w:val="single" w:sz="12" w:space="4" w:color="2E74B5"/>
        </w:pBdr>
      </w:pPr>
      <w:r>
        <w:rPr>
          <w:rFonts w:ascii="Arial" w:hAnsi="Arial" w:cs="Arial" w:eastAsia="Arial"/>
          <w:b/>
          <w:color w:val="1F4D78"/>
          <w:sz w:val="22"/>
        </w:rPr>
        <w:t xml:space="preserve">推荐结论  </w:t>
      </w:r>
      <w:r>
        <w:rPr>
          <w:rFonts w:ascii="Arial" w:hAnsi="Arial" w:cs="Arial" w:eastAsia="Arial"/>
          <w:color w:val="0B2545"/>
          <w:sz w:val="22"/>
        </w:rPr>
        <w:t>有价值，且不是直接依赖。应移植其授权模型、范围代数和证据链，先接入低风险工具门，再逐步覆盖审批和审计。</w:t>
      </w:r>
    </w:p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1. 背景与判断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CogSeed 是本地优先的 Electron 多智能体工作台，已经拥有多个分散的安全闸门：本地执行模式、路径沙箱、敏感命令审批、Connector 可见性、KB 范围、Agent 分派策略和 Skill 扫描 receipt。这些机制各自有效，但没有统一回答一个关键问题：某个 Agent 基于什么委托和上下文，允许对什么资源执行什么动作。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Trust Graph 是 Python 原型授权内核，核心输入输出正是主体、授权链、资源、动作、范围和证据。它当前 745 项测试通过，但 README 明确声明仍为 prototype：进程内存储、HMAC 签名、Evidence Store 缺少跨进程原子性、真实 Agent Configurator 尚未接入。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因此，本次评估把问题拆成两层：Trust Graph 的模型是否有价值，以及它的 Python 实现是否适合直接进入 CogSeed。结论是前者价值较高，后者不适合直接接入。</w:t>
      </w:r>
    </w:p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2. Trust Graph 能为 CogSeed 带来什么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Trust Graph 最重要的不是某一个判断函数，而是把授权拆成可查询、可收窄、可审计的 Grant 链，并严格区分图查询、范围检查和最终策略决策。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统一工具授权：把当前分散的路径、命令、Connector、KB 和 Agent 分派规则收敛到同一套资源/动作/能力范围模型。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表达多层委托：Commander 分派 Agent，Agent 调用 Skill，Skill 再执行本地命令，每层只收窄权限，不扩大权限。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生成可回放证据链：每次允许、拒绝或要求审批都带证据链、失效原因和版本，便于 execution log 和审计追溯。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降低新工具接入成本：新增工具时接入统一 authorization adapter，而不是在工具内部继续堆 ad hoc 判断。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此外，Trust Graph 的两个正交 Profile 表明它有意保持领域无关。CogSeed 可以先用文件/命令权限作为第一个 Profile，再逐步扩展到 Connector、KB、费用工作台等场景，而不改授权内核。</w:t>
      </w:r>
    </w:p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3. CogSeed 现有授权现状与缺口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下表是当前主要授权点。它们都可用，但边界分散，且多数只回答“是否触发审批”，不回答“授权从哪来、委托链是否有效、为什么这次允许”。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C9CDD3"/>
          <w:insideV w:val="single" w:sz="4" w:space="0" w:color="C9CDD3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16"/>
        <w:gridCol w:w="3600"/>
        <w:gridCol w:w="3744"/>
      </w:tblGrid>
      <w:tr>
        <w:tc>
          <w:tcPr>
            <w:tcW w:type="dxa" w:w="2016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维度</w:t>
            </w:r>
          </w:p>
        </w:tc>
        <w:tc>
          <w:tcPr>
            <w:tcW w:type="dxa" w:w="360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当前实现</w:t>
            </w:r>
          </w:p>
        </w:tc>
        <w:tc>
          <w:tcPr>
            <w:tcW w:type="dxa" w:w="3744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主要缺口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本地执行模式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features/permissions.ts 三档 workspace / all-files / auto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只控制全局姿势；无法按 Agent、Skill 或资源细粒度授权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路径范围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util/path-sandbox.ts + granted_roots.ts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能阻止越界，但没有资源级授权链和审计决策记录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命令风险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local_access_policy.ts + bash-permissions.ts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按正则风险类别提示，无法表达“谁授权该 Agent 执行该命令”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Connector/KB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cogseed_backend/capability-scope.ts 的 allow-list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visibility 是硬编码集合，缺少统一 action/capability 语义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Agent 分派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agent-dispatch-policy.ts 的 enabled/management_only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表达的是表面入口，不是完整责任、委托和范围链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Skill 信任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skill_trust.ts 的扫描 receipt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证明内容被扫描过，但未与运行时授权链、调用上下文耦合</w:t>
            </w:r>
          </w:p>
        </w:tc>
      </w:tr>
    </w:tbl>
    <w:p>
      <w:pPr>
        <w:keepNext w:val="0"/>
        <w:spacing w:before="8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缺口不是“没有安全控制”，而是“控制之间没有共享语义”。这正是 Trust Graph 模型能补的地方。</w:t>
      </w:r>
    </w:p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4. 推荐接入架构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推荐在 CogSeed 中实现一个 TypeScript 授权内核，而不是把 Trust Graph Python 包作为子进程。Python 直接接入会新增一个不在现有批准路径内的运行时边界，且 Trust Graph 当前存储和签名模型并不满足生产要求。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src/main/util/authorization_scope.ts：纯函数范围代数、路径/动作/能力覆盖、单调收窄检查。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src/main/features/authorization/：GrantStore、证据链、Domain Profile、策略校验与审计记录。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src/main/model/core-agent/tool-authorization.ts：由 file-tools、local-tools、connector-tools、kb-tools 调用的统一 adapter。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src/main/ipc/security.ts 继续只做 IPC sender/envelope 校验，不承载业务授权。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该划分符合 CogSeed 现有 layering：util 保持纯函数，features 承载业务工作流，model/core-agent 负责工具接入。第一阶段仍保留现有闸门，新授权内核以旁路或 wrapper 方式渐进替换，避免一次性重写高风险路径。</w:t>
      </w:r>
    </w:p>
    <w:p>
      <w:pPr>
        <w:pStyle w:val="Heading2"/>
        <w:keepNext/>
        <w:spacing w:before="200" w:after="100" w:line="252" w:lineRule="auto"/>
      </w:pPr>
      <w:r/>
      <w:r>
        <w:rPr>
          <w:rFonts w:ascii="Arial" w:hAnsi="Arial" w:cs="Arial" w:eastAsia="Arial"/>
          <w:b/>
          <w:color w:val="2E74B5"/>
          <w:sz w:val="26"/>
        </w:rPr>
        <w:t>4.1 Trust Graph 到 CogSeed 的映射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C9CDD3"/>
          <w:insideV w:val="single" w:sz="4" w:space="0" w:color="C9CDD3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60"/>
        <w:gridCol w:w="3240"/>
        <w:gridCol w:w="3960"/>
      </w:tblGrid>
      <w:tr>
        <w:tc>
          <w:tcPr>
            <w:tcW w:type="dxa" w:w="216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Trust Graph 概念</w:t>
            </w:r>
          </w:p>
        </w:tc>
        <w:tc>
          <w:tcPr>
            <w:tcW w:type="dxa" w:w="324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CogSeed 对应</w:t>
            </w:r>
          </w:p>
        </w:tc>
        <w:tc>
          <w:tcPr>
            <w:tcW w:type="dxa" w:w="396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建议用途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Grant / GrantStore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持久化的用户/Agent/Skill 授权配置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表达 Commander、Agent、Skill 之间的委托和范围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query_by_grants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authorization resolver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在工具执行前查询有效证据链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Enforcement Gate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tool-authorization.ts + path-sandbox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动作级范围检查，返回允许/需要审批/拒绝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Runtime Policy Validator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Domain Profile + 现有审批流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把命令风险、金额、数据分级等业务条件变成策略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DecisionRecord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execution log 授权记录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保存每次工具调用的决策、证据和原因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Evidence Store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本地 tool-result / execution-log 存储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为高风险动作提供原子消费和审计证据</w:t>
            </w:r>
          </w:p>
        </w:tc>
      </w:tr>
    </w:tbl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5. 分期落地方案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建议按四个阶段推进。前两个阶段可以证明模型价值并控制风险；后两个阶段决定是否能用于更敏感场景。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C9CDD3"/>
          <w:insideV w:val="single" w:sz="4" w:space="0" w:color="C9CDD3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00"/>
        <w:gridCol w:w="1700"/>
        <w:gridCol w:w="3820"/>
        <w:gridCol w:w="2740"/>
      </w:tblGrid>
      <w:tr>
        <w:tc>
          <w:tcPr>
            <w:tcW w:type="dxa" w:w="110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阶段</w:t>
            </w:r>
          </w:p>
        </w:tc>
        <w:tc>
          <w:tcPr>
            <w:tcW w:type="dxa" w:w="170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目标</w:t>
            </w:r>
          </w:p>
        </w:tc>
        <w:tc>
          <w:tcPr>
            <w:tcW w:type="dxa" w:w="382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主要工作</w:t>
            </w:r>
          </w:p>
        </w:tc>
        <w:tc>
          <w:tcPr>
            <w:tcW w:type="dxa" w:w="274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退出标准</w:t>
            </w:r>
          </w:p>
        </w:tc>
      </w:tr>
      <w:tr>
        <w:tc>
          <w:tcPr>
            <w:tcW w:type="dxa" w:w="11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P0 盘点与试点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明确边界和首个切入面</w:t>
            </w:r>
          </w:p>
        </w:tc>
        <w:tc>
          <w:tcPr>
            <w:tcW w:type="dxa" w:w="382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盘点所有工具/授权点，冻结授权术语，选择 file/connector 试点</w:t>
            </w:r>
          </w:p>
        </w:tc>
        <w:tc>
          <w:tcPr>
            <w:tcW w:type="dxa" w:w="27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形成映射表和试点验收条件</w:t>
            </w:r>
          </w:p>
        </w:tc>
      </w:tr>
      <w:tr>
        <w:tc>
          <w:tcPr>
            <w:tcW w:type="dxa" w:w="11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P1 核心授权模型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移植 Trust Graph 可复用部分</w:t>
            </w:r>
          </w:p>
        </w:tc>
        <w:tc>
          <w:tcPr>
            <w:tcW w:type="dxa" w:w="382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实现 Grant、Scope、单调收窄、resolver、Domain Profile 和核心测试</w:t>
            </w:r>
          </w:p>
        </w:tc>
        <w:tc>
          <w:tcPr>
            <w:tcW w:type="dxa" w:w="27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Trust Graph 关键安全不变量在 TS 测试中通过</w:t>
            </w:r>
          </w:p>
        </w:tc>
      </w:tr>
      <w:tr>
        <w:tc>
          <w:tcPr>
            <w:tcW w:type="dxa" w:w="11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P2 工具接入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让模型进入真实工具门</w:t>
            </w:r>
          </w:p>
        </w:tc>
        <w:tc>
          <w:tcPr>
            <w:tcW w:type="dxa" w:w="382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接入 read_file、bash、connector、KB，保留现有 fail-closed 兜底</w:t>
            </w:r>
          </w:p>
        </w:tc>
        <w:tc>
          <w:tcPr>
            <w:tcW w:type="dxa" w:w="27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低风险试点通过真实环境验证</w:t>
            </w:r>
          </w:p>
        </w:tc>
      </w:tr>
      <w:tr>
        <w:tc>
          <w:tcPr>
            <w:tcW w:type="dxa" w:w="11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P3 审计与审批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补齐证据链和人工决策</w:t>
            </w:r>
          </w:p>
        </w:tc>
        <w:tc>
          <w:tcPr>
            <w:tcW w:type="dxa" w:w="382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接入 execution log、skill receipt、quorum、approval 记录</w:t>
            </w:r>
          </w:p>
        </w:tc>
        <w:tc>
          <w:tcPr>
            <w:tcW w:type="dxa" w:w="27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决策可回放，审批路径有审计证据</w:t>
            </w:r>
          </w:p>
        </w:tc>
      </w:tr>
      <w:tr>
        <w:tc>
          <w:tcPr>
            <w:tcW w:type="dxa" w:w="11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P4 生产加固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评估高风险场景</w:t>
            </w:r>
          </w:p>
        </w:tc>
        <w:tc>
          <w:tcPr>
            <w:tcW w:type="dxa" w:w="382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持久化、原子证据、撤销传播、多租户和跨进程一致性</w:t>
            </w:r>
          </w:p>
        </w:tc>
        <w:tc>
          <w:tcPr>
            <w:tcW w:type="dxa" w:w="274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明确哪些场景可生产，哪些仍需外部系统</w:t>
            </w:r>
          </w:p>
        </w:tc>
      </w:tr>
    </w:tbl>
    <w:p>
      <w:pPr>
        <w:keepNext w:val="0"/>
        <w:spacing w:before="80" w:after="200" w:line="264" w:lineRule="auto"/>
        <w:shd w:val="clear" w:color="auto" w:fill="F4F6F9"/>
        <w:pBdr>
          <w:left w:val="single" w:sz="12" w:space="4" w:color="2E74B5"/>
        </w:pBdr>
      </w:pPr>
      <w:r>
        <w:rPr>
          <w:rFonts w:ascii="Arial" w:hAnsi="Arial" w:cs="Arial" w:eastAsia="Arial"/>
          <w:b/>
          <w:color w:val="1F4D78"/>
          <w:sz w:val="22"/>
        </w:rPr>
        <w:t xml:space="preserve">首个试点  </w:t>
      </w:r>
      <w:r>
        <w:rPr>
          <w:rFonts w:ascii="Arial" w:hAnsi="Arial" w:cs="Arial" w:eastAsia="Arial"/>
          <w:color w:val="0B2545"/>
          <w:sz w:val="22"/>
        </w:rPr>
        <w:t>建议从 file-tools 的读范围检查和 connector-meta-tools 的可见性开始。它们路径清晰、有明确现有闸门、没有支付或跨租户副作用，适合验证模型而不承担高风险。</w:t>
      </w:r>
    </w:p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6. 可行性评估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C9CDD3"/>
          <w:insideV w:val="single" w:sz="4" w:space="0" w:color="C9CDD3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1050"/>
        <w:gridCol w:w="6410"/>
      </w:tblGrid>
      <w:tr>
        <w:tc>
          <w:tcPr>
            <w:tcW w:type="dxa" w:w="190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评估维度</w:t>
            </w:r>
          </w:p>
        </w:tc>
        <w:tc>
          <w:tcPr>
            <w:tcW w:type="dxa" w:w="105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评分</w:t>
            </w:r>
          </w:p>
        </w:tc>
        <w:tc>
          <w:tcPr>
            <w:tcW w:type="dxa" w:w="641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判断依据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领域匹配度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高</w:t>
            </w:r>
          </w:p>
        </w:tc>
        <w:tc>
          <w:tcPr>
            <w:tcW w:type="dxa" w:w="641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CogSeed 天然存在多主体、多工具、多资源、多上下文，匹配 Grant 链模型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技术适配度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</w:t>
            </w:r>
          </w:p>
        </w:tc>
        <w:tc>
          <w:tcPr>
            <w:tcW w:type="dxa" w:w="641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需要从 Python 移植到 TypeScript；不能直接复用 Python 运行时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安全成熟度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中低</w:t>
            </w:r>
          </w:p>
        </w:tc>
        <w:tc>
          <w:tcPr>
            <w:tcW w:type="dxa" w:w="641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Trust Graph 原型测试充分，但持久化、原子性、签名和多节点仍未生产验证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集成复杂度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</w:t>
            </w:r>
          </w:p>
        </w:tc>
        <w:tc>
          <w:tcPr>
            <w:tcW w:type="dxa" w:w="641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接入点分散，但可用 adapter 和现有 wrapper 渐进替换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首期价值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高</w:t>
            </w:r>
          </w:p>
        </w:tc>
        <w:tc>
          <w:tcPr>
            <w:tcW w:type="dxa" w:w="641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统一工具门和审计链，能立即减少新工具接入的重复判断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生产就绪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条件性</w:t>
            </w:r>
          </w:p>
        </w:tc>
        <w:tc>
          <w:tcPr>
            <w:tcW w:type="dxa" w:w="641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仅当完成 P3/P4 且通过真实跨进程和持久化验证后才能用于支付/高风险审批</w:t>
            </w:r>
          </w:p>
        </w:tc>
      </w:tr>
    </w:tbl>
    <w:p>
      <w:pPr>
        <w:keepNext w:val="0"/>
        <w:spacing w:before="8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综合判断：概念可行性高，落地可行性中等。最合适的定位是“授权模型设计源 + 安全不变量测试参照”，而不是“直接依赖的 Python 组件”。</w:t>
      </w:r>
    </w:p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7. 风险与验收标准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C9CDD3"/>
          <w:insideV w:val="single" w:sz="4" w:space="0" w:color="C9CDD3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1050"/>
        <w:gridCol w:w="1050"/>
        <w:gridCol w:w="5060"/>
      </w:tblGrid>
      <w:tr>
        <w:tc>
          <w:tcPr>
            <w:tcW w:type="dxa" w:w="220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风险</w:t>
            </w:r>
          </w:p>
        </w:tc>
        <w:tc>
          <w:tcPr>
            <w:tcW w:type="dxa" w:w="105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可能性</w:t>
            </w:r>
          </w:p>
        </w:tc>
        <w:tc>
          <w:tcPr>
            <w:tcW w:type="dxa" w:w="105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影响</w:t>
            </w:r>
          </w:p>
        </w:tc>
        <w:tc>
          <w:tcPr>
            <w:tcW w:type="dxa" w:w="5060"/>
            <w:vAlign w:val="center"/>
            <w:shd w:val="clear" w:color="auto"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B2545"/>
                <w:sz w:val="21"/>
              </w:rPr>
              <w:t>缓解措施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移植时丢失安全不变量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高</w:t>
            </w:r>
          </w:p>
        </w:tc>
        <w:tc>
          <w:tcPr>
            <w:tcW w:type="dxa" w:w="50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逐项移植 Trust Graph 的安全测试，尤其是单调收窄和 fail-closed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与现有审批流重复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高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</w:t>
            </w:r>
          </w:p>
        </w:tc>
        <w:tc>
          <w:tcPr>
            <w:tcW w:type="dxa" w:w="50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新内核只做授权图，最终审批继续复用现有 UI/流，不重做一套用户交互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性能回归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低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</w:t>
            </w:r>
          </w:p>
        </w:tc>
        <w:tc>
          <w:tcPr>
            <w:tcW w:type="dxa" w:w="50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动作级查询保持同步、短路径；复杂图解析只在高风险或审计场景执行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误将原型视为生产安全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高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高</w:t>
            </w:r>
          </w:p>
        </w:tc>
        <w:tc>
          <w:tcPr>
            <w:tcW w:type="dxa" w:w="50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在代码、文档和 UI 中明确 maturity 边界；P4 前不用于支付和跨租户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范围蔓延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</w:t>
            </w:r>
          </w:p>
        </w:tc>
        <w:tc>
          <w:tcPr>
            <w:tcW w:type="dxa" w:w="105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中</w:t>
            </w:r>
          </w:p>
        </w:tc>
        <w:tc>
          <w:tcPr>
            <w:tcW w:type="dxa" w:w="5060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color w:val="0B2545"/>
                <w:sz w:val="21"/>
              </w:rPr>
              <w:t>先锁定 file/connector 试点，定义 phase exit criteria，避免一次覆盖所有工具</w:t>
            </w:r>
          </w:p>
        </w:tc>
      </w:tr>
    </w:tbl>
    <w:p>
      <w:pPr>
        <w:pStyle w:val="Heading2"/>
        <w:keepNext/>
        <w:spacing w:before="200" w:after="100" w:line="252" w:lineRule="auto"/>
      </w:pPr>
      <w:r/>
      <w:r>
        <w:rPr>
          <w:rFonts w:ascii="Arial" w:hAnsi="Arial" w:cs="Arial" w:eastAsia="Arial"/>
          <w:b/>
          <w:color w:val="2E74B5"/>
          <w:sz w:val="26"/>
        </w:rPr>
        <w:t>7.1 最低验收标准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核心授权模型不依赖任何 Python 进程，且能通过单调收窄、范围覆盖、失效链和拒绝原因测试。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接入的工具在未获得明确授权时 fail-closed，不得退回更宽松的默认行为。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每次工具调用能产出稳定、可回放的授权决策记录，包含主体、动作、资源、范围和证据。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现有 path-sandbox、local-access 和 connector visibility 至少保持同等安全强度，不能出现授权旁路。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真实环境验证覆盖 macOS 与 Windows，包含拒绝、恢复、重放和授权撤销路径。</w:t>
      </w:r>
    </w:p>
    <w:p>
      <w:pPr>
        <w:pStyle w:val="Heading1"/>
        <w:keepNext/>
        <w:spacing w:before="240" w:after="120" w:line="252" w:lineRule="auto"/>
      </w:pPr>
      <w:r/>
      <w:r>
        <w:rPr>
          <w:rFonts w:ascii="Arial" w:hAnsi="Arial" w:cs="Arial" w:eastAsia="Arial"/>
          <w:b/>
          <w:color w:val="2E74B5"/>
          <w:sz w:val="32"/>
        </w:rPr>
        <w:t>8. 建议下一步</w:t>
      </w:r>
    </w:p>
    <w:p>
      <w:pPr>
        <w:keepNext w:val="0"/>
        <w:spacing w:before="0" w:after="120" w:line="264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当前建议不是立即全面替换 CogSeed 的授权体系，而是先确认 TypeScript 移植方向，并用一个低风险工具面验证模型是否确实减少重复判断、提升审计能力。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确认方案方向：采用 TS 授权内核，不直接引入 Python Trust Graph。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冻结 P0 盘点：列出全部工具授权点和首个 file/connector 试点。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建立测试基线：把 Trust Graph 的安全不变量映射为 CogSeed 契约测试。</w:t>
      </w:r>
    </w:p>
    <w:p>
      <w:pPr>
        <w:pStyle w:val="ListBullet"/>
        <w:keepNext w:val="0"/>
        <w:spacing w:before="0" w:after="80" w:line="264" w:lineRule="auto"/>
        <w:ind w:left="720" w:hanging="360"/>
      </w:pPr>
      <w:r>
        <w:rPr>
          <w:rFonts w:ascii="Arial" w:hAnsi="Arial" w:cs="Arial" w:eastAsia="Arial"/>
          <w:color w:val="0B2545"/>
          <w:sz w:val="22"/>
        </w:rPr>
        <w:t>完成 P2 原型后做一次设计评审，再决定是否继续覆盖审批、费用工作台和高风险场景。</w:t>
      </w:r>
    </w:p>
    <w:p>
      <w:pPr>
        <w:keepNext w:val="0"/>
        <w:spacing w:before="200" w:after="0" w:line="240" w:lineRule="auto"/>
      </w:pPr>
      <w:r>
        <w:rPr>
          <w:rFonts w:ascii="Arial" w:hAnsi="Arial" w:cs="Arial" w:eastAsia="Arial"/>
          <w:b w:val="0"/>
          <w:i/>
          <w:color w:val="6E7783"/>
          <w:sz w:val="18"/>
        </w:rPr>
        <w:t>依据：CogSeed AGENTS.md、README.md、features/permissions.ts、features/local_access_policy.ts、model/core-agent/local-tools.ts、model/core-agent/file-tools.ts；Trust Graph README.md、trust_graph/SKILL.md 及当前测试结果 745 passed / 9 skipped。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 w:cs="Arial" w:eastAsia="Arial"/>
        <w:color w:val="6E7783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" w:hAnsi="Arial" w:cs="Arial" w:eastAsia="Arial"/>
        <w:color w:val="6E7783"/>
        <w:sz w:val="17"/>
      </w:rPr>
      <w:t>Trust Graph / CogSeed Feasibility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