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tbl>
      <w:tblPr>
        <w:tblW w:w="9921" w:type="dxa"/>
        <w:jc w:val="left"/>
        <w:tblInd w:w="-28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STANDARDIZED"/>
      </w:tblPr>
      <w:tblGrid>
        <w:gridCol w:w="4550"/>
        <w:gridCol w:w="5371"/>
      </w:tblGrid>
      <w:tr>
        <w:trPr>
          <w:jc w:val="center"/>
        </w:trPr>
        <w:tc>
          <w:tcPr>
            <w:tcW w:w="455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ĐẢNG BỘ TẬP ĐOÀN CÔNG NGHIỆP THAN - KHOÁNG SẢN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ĐẢNG BỘ VIỆN CƠ KHÍ NĂNG LƯỢNG VÀ MỎ - VINACOMIN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Agency rule" style="position:absolute;z-index:251658240;visibility:visible" from="0,0" to="79.5pt,0" strokecolor="#000000" strokeweight="0.75pt">
                      <w10:wrap type="none"/>
                    </v:line>
                  </w:pict>
                  <v:line id="Agency rule_fb" style="position:absolute;z-index:251658240;visibility:visible" from="0,0" to="79.5pt,0" strokecolor="#000000" strokeweight="0.75pt">
                    <w10:wrap type="none"/>
                  </v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/[KÝ HIỆU]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ĐẢNG CỘNG SẢN VIỆT NAM</w: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>
      <w:pPr>
        <w:jc w:val="center"/>
        <w:spacing w:before="0" w:after="0" w:line="240" w:lineRule="auto"/>
      </w:pPr>
      <w:r>
        <w:rPr>
          <w:rFonts w:cs="Times New Roman" w:ascii="Times New Roman" w:hAnsi="Times New Roman" w:eastAsia="Times New Roman"/>
          <w:sz w:val="26"/>
          <w:b/>
        </w:rPr>
        <w:t>ĐẢNG BỘ VIỆN CƠ KHÍ NĂNG LƯỢNG VÀ MỎ - VINACOMIN</w:t>
      </w:r>
    </w:p>
    <w:p>
      <w:pPr>
        <w:jc w:val="center"/>
        <w:spacing w:before="0" w:after="0" w:line="240" w:lineRule="auto"/>
      </w:pPr>
      <w:r>
        <w:rPr>
          <w:rFonts w:cs="Times New Roman" w:ascii="Times New Roman" w:hAnsi="Times New Roman" w:eastAsia="Times New Roman"/>
          <w:sz w:val="26"/>
          <w:b/>
        </w:rPr>
        <w:t>ĐẢNG CỘNG SẢN VIỆT NAM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ĐẢNG ỦY VIỆN CƠ KHÍ NĂNG LƯỢNG VÀ MỎ - VINACOMIN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NGHỊ QUYẾT</w:t>
      </w:r>
    </w:p>
    <w:p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Đảng ủy Viện thống nhất nội dung, nhiệm vụ và trách nhiệm tổ chức thực hiện theo nghị quyết này.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