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{SO_VAN_BAN}/Q?-VCNM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QUYẾT ĐỊNH</w:t>
      </w:r>
    </w:p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Về việc ban hành hoặc phê duyệt {TEN_VAN_BAN}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Căn cứ {CAN_CU_1}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Theo đề nghị của {DON_VI_CHU_TRI},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QUYẾT ĐỊNH: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1. Ban hành kèm theo Quyết định này {TEN_VAN_BAN}.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2. Trách nhiệm tổ chức thực hiện: {DIEU_2}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3. Quyết định này có hiệu lực kể từ ngày ký. {DIEU_3}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 ban hành hoặc phê duyệt văn bản của Viện</dc:title>
  <dc:subject>Quyết định ban hành hoặc phê duyệt văn bản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iemm-quyet-dinh-ban-hanh</dc:identifier>
</cp:coreProperties>
</file>