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{SO_VAN_BAN}/{KY_HIEU}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QUY CHẾ / QUY ĐỊNH</w:t>
      </w:r>
    </w:p>
    <w:p>
      <w:pPr>
        <w:spacing w:before="40"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Ban hành kèm theo Quyết định số {SO_VAN_BAN}/{KY_HIEU}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Chương I. QUY ĐỊNH CHUNG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I. Phạm vi, đối tượng áp dụng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1. Phạm vi điều chỉnh và đối tượng áp dụng: 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Chương II. QUY ĐỊNH CỤ THỂ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II. Quy định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2. 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Chương III. TỔ CHỨC THỰC HIỆN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III. Tổ chức thực hiện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3. Trách nhiệm thi hành: {NOI_DUNG}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chế, quy định của Viện</dc:title>
  <dc:subject>Quy chế, quy định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iemm-quy-che</dc:identifier>
</cp:coreProperties>
</file>