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{CO_QUAN_CHU_QUAN}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S?: {SO_VAN_BAN}/{KY_HIEU}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QUYẾT ĐỊNH</w:t>
      </w:r>
    </w:p>
    <w:p>
      <w:pPr>
        <w:spacing w:before="40" w:after="8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Về việc: {TRICH_YEU}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Căn cứ {CAN_CU_1}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Theo đề nghị của {DON_VI_CHU_TRI},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QUYẾT ĐỊNH: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Điều 1. {DIEU_1}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Điều 2. {DIEU_2}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Điều 3. {DIEU_3}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  <w:lang w:val="vi-VN"/>
              </w:rPr>
              <w:t>Nơi nhận:</w:t>
            </w:r>
          </w:p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lang w:val="vi-VN"/>
              </w:rPr>
              <w:t>- {NOI_NHAN}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{CHUC_VU_NGUOI_KY}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Quyết định Tập đoàn TKV</dc:title>
  <dc:subject>Quyết định Tập đoàn TKV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tkv-quyet-dinh</dc:identifier>
</cp:coreProperties>
</file>