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ascii="Arial" w:hAnsi="Arial" w:eastAsia="Microsoft YaHei"/>
          <w:b/>
          <w:sz w:val="52"/>
        </w:rPr>
        <w:t>BondForge</w:t>
      </w:r>
    </w:p>
    <w:p>
      <w:pPr>
        <w:pStyle w:val="SubtitleCN"/>
        <w:jc w:val="center"/>
      </w:pPr>
      <w:r>
        <w:rPr>
          <w:rFonts w:ascii="Arial" w:hAnsi="Arial" w:eastAsia="Microsoft YaHei"/>
          <w:color w:val="4B5563"/>
          <w:sz w:val="24"/>
        </w:rPr>
        <w:t>中文白皮书 / Litepaper v1.0</w:t>
      </w:r>
    </w:p>
    <w:p>
      <w:pPr>
        <w:pStyle w:val="QuoteCN"/>
        <w:jc w:val="center"/>
      </w:pPr>
      <w:r>
        <w:rPr>
          <w:rFonts w:ascii="Arial" w:hAnsi="Arial" w:eastAsia="Microsoft YaHei"/>
          <w:i/>
          <w:color w:val="374151"/>
          <w:sz w:val="22"/>
        </w:rPr>
        <w:t>更公平的链上发行方式：固定价格认购、NFT Pass 凭证、渐进释放。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2948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14A7A"/>
                <w:sz w:val="18"/>
              </w:rPr>
              <w:t>产品定位</w:t>
              <w:br/>
            </w:r>
            <w:r>
              <w:rPr>
                <w:rFonts w:ascii="Arial" w:hAnsi="Arial" w:eastAsia="Microsoft YaHei"/>
                <w:color w:val="1F2937"/>
                <w:sz w:val="21"/>
              </w:rPr>
              <w:t>公平认购型链上发行协议</w:t>
            </w:r>
          </w:p>
        </w:tc>
        <w:tc>
          <w:tcPr>
            <w:tcW w:type="dxa" w:w="2948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14A7A"/>
                <w:sz w:val="18"/>
              </w:rPr>
              <w:t>当前阶段</w:t>
              <w:br/>
            </w:r>
            <w:r>
              <w:rPr>
                <w:rFonts w:ascii="Arial" w:hAnsi="Arial" w:eastAsia="Microsoft YaHei"/>
                <w:color w:val="1F2937"/>
                <w:sz w:val="21"/>
              </w:rPr>
              <w:t>BSC 测试网 MVP 优先</w:t>
            </w:r>
          </w:p>
        </w:tc>
        <w:tc>
          <w:tcPr>
            <w:tcW w:type="dxa" w:w="2948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14A7A"/>
                <w:sz w:val="18"/>
              </w:rPr>
              <w:t>核心对象</w:t>
              <w:br/>
            </w:r>
            <w:r>
              <w:rPr>
                <w:rFonts w:ascii="Arial" w:hAnsi="Arial" w:eastAsia="Microsoft YaHei"/>
                <w:color w:val="1F2937"/>
                <w:sz w:val="21"/>
              </w:rPr>
              <w:t>项目方、认购用户、长期持有者</w:t>
            </w:r>
          </w:p>
        </w:tc>
      </w:tr>
    </w:tbl>
    <w:p>
      <w:pPr>
        <w:pStyle w:val="BodyCN"/>
      </w:pPr>
    </w:p>
    <w:p>
      <w:pPr>
        <w:pStyle w:val="SectionCN"/>
      </w:pPr>
      <w:r>
        <w:t>1. 概览</w:t>
      </w:r>
    </w:p>
    <w:p>
      <w:pPr>
        <w:pStyle w:val="SubsectionCN"/>
      </w:pPr>
      <w:r>
        <w:t>BondForge 是什么</w:t>
      </w:r>
    </w:p>
    <w:p>
      <w:pPr>
        <w:pStyle w:val="BodyCN"/>
      </w:pPr>
      <w:r>
        <w:t>BondForge 是一个面向链上资产发行的协议型产品。它试图用固定价格认购、NFT Pass 凭证和渐进式代币释放，替代传统“拼手速、拼机器人、开盘即砸盘”的发射方式。 对用户而言，认购权不是静态收据，而是一个可持有、可转移、可承载后续领取权利的 NFT Pass；对项目方而言，它是一种把募资、流动性准备和分发规则写清楚的发行工具。</w:t>
      </w:r>
    </w:p>
    <w:p>
      <w:pPr>
        <w:pStyle w:val="SubsectionCN"/>
      </w:pPr>
      <w:r>
        <w:t>一句话定位</w:t>
      </w:r>
    </w:p>
    <w:p>
      <w:pPr>
        <w:pStyle w:val="BodyCN"/>
      </w:pPr>
      <w:r>
        <w:t>BondForge 是一个把认购权做成可流转 NFT 凭证，并让代币分发按时间展开的公平发行协议。</w:t>
      </w:r>
    </w:p>
    <w:p>
      <w:pPr>
        <w:pStyle w:val="SubsectionCN"/>
      </w:pPr>
      <w:r>
        <w:t>当前版本边界</w:t>
      </w:r>
    </w:p>
    <w:p>
      <w:pPr>
        <w:pStyle w:val="BodyCN"/>
      </w:pPr>
      <w:r>
        <w:t>本白皮书对应的第一阶段以 BSC 测试网 MVP 为优先目标。MVP 先验证最关键的产品路径：创建发行、固定价格认购、钱包上限、认购未完成前退款、发行完成后初始化领取逻辑、按时间领取、以及提前退出。 更复杂的跨市场回购、自动做市、清算池和高级税收飞轮，不在当前 MVP 的首发范围内。</w:t>
      </w:r>
    </w:p>
    <w:p>
      <w:pPr>
        <w:pStyle w:val="SectionCN"/>
      </w:pPr>
      <w:r>
        <w:t>2. 为什么需要 BondForge</w:t>
      </w:r>
    </w:p>
    <w:p>
      <w:pPr>
        <w:pStyle w:val="SubsectionCN"/>
      </w:pPr>
      <w:r>
        <w:t>传统发射模型的问题</w:t>
      </w:r>
    </w:p>
    <w:p>
      <w:pPr>
        <w:pStyle w:val="BodyCN"/>
      </w:pPr>
      <w:r>
        <w:t>当前大量链上发行产品仍然把“抢到就是赚到”当作默认规则。早期用户因为更快的机器人、更高的 gas、更熟练的操作，获得不对称优势；项目方则在热度、资金、流动性和长期分发之间不断妥协。 结果通常是：开盘前的预期很高，开盘后的抛压更高，真正有耐心的参与者反而处在更差的位置。</w:t>
      </w:r>
    </w:p>
    <w:p>
      <w:pPr>
        <w:pStyle w:val="SubsectionCN"/>
      </w:pPr>
      <w:r>
        <w:t>BondForge 的切入点</w:t>
      </w:r>
    </w:p>
    <w:p>
      <w:pPr>
        <w:pStyle w:val="BodyCN"/>
      </w:pPr>
      <w:r>
        <w:t>BondForge 不追求把所有问题一次性解决，而是先解决三个最核心的问题：第一，尽量降低首秒抢跑优势；第二，把认购权从“锁死的收据”升级为“可流转的 Pass”；第三，用渐进释放代替一次性全放，给市场留下更正常的价格发现空间。</w:t>
      </w:r>
    </w:p>
    <w:p>
      <w:pPr>
        <w:pStyle w:val="SectionCN"/>
      </w:pPr>
      <w:r>
        <w:t>3. 核心机制</w:t>
      </w:r>
    </w:p>
    <w:p>
      <w:pPr>
        <w:pStyle w:val="SubsectionCN"/>
      </w:pPr>
      <w:r>
        <w:t>3.1 固定价格认购</w:t>
      </w:r>
    </w:p>
    <w:p>
      <w:pPr>
        <w:pStyle w:val="BodyCN"/>
      </w:pPr>
      <w:r>
        <w:t>每个发行由项目方预先设置 NFT Pass 供应量、单价、每钱包上限以及基础参数。用户在同一价格条件下参与认购，不存在先买更便宜、后买更贵的曲线差异。 这种机制并不保证没有抛压，但可以显著降低由早期价格优势带来的结构性不公平。</w:t>
      </w:r>
    </w:p>
    <w:p>
      <w:pPr>
        <w:pStyle w:val="SubsectionCN"/>
      </w:pPr>
      <w:r>
        <w:t>3.2 NFT Pass 凭证</w:t>
      </w:r>
    </w:p>
    <w:p>
      <w:pPr>
        <w:pStyle w:val="BodyCN"/>
      </w:pPr>
      <w:r>
        <w:t>用户认购后拿到的是 BondForge Pass NFT。这个 Pass 既是认购成功的凭证，也是后续领取代币的容器。它的意义不只是“证明你买过”，而是把一次发行中的份额、时间和后续选择权统一到一个可编程资产里。</w:t>
      </w:r>
    </w:p>
    <w:p>
      <w:pPr>
        <w:pStyle w:val="SubsectionCN"/>
      </w:pPr>
      <w:r>
        <w:t>3.3 渐进释放</w:t>
      </w:r>
    </w:p>
    <w:p>
      <w:pPr>
        <w:pStyle w:val="BodyCN"/>
      </w:pPr>
      <w:r>
        <w:t>发行完成后，Pass 持有者并不是瞬间拿到全部代币，而是按照预设时间曲线逐步领取。这样做的核心目的，是把“到手就能卖”的瞬时冲动，改造成“时间越往后，权利越完整”的结构。 这不意味着价格一定上涨，但它会使开盘后的供给释放更平滑。</w:t>
      </w:r>
    </w:p>
    <w:p>
      <w:pPr>
        <w:pStyle w:val="SubsectionCN"/>
      </w:pPr>
      <w:r>
        <w:t>3.4 提前退出</w:t>
      </w:r>
    </w:p>
    <w:p>
      <w:pPr>
        <w:pStyle w:val="BodyCN"/>
      </w:pPr>
      <w:r>
        <w:t>不是所有参与者都会一直持有到最后。为了给短期参与者一个可预期的出口，BondForge 在 MVP 中保留了提前退出路径：用户放弃未来的一部分潜在收益，以换取当前更直接的退出。 这比让所有人只能在二级市场一起砸盘，更符合产品稳定性的要求。</w:t>
      </w:r>
    </w:p>
    <w:p>
      <w:pPr>
        <w:pStyle w:val="SubsectionCN"/>
      </w:pPr>
      <w:r>
        <w:t>3.5 退款摩擦</w:t>
      </w:r>
    </w:p>
    <w:p>
      <w:pPr>
        <w:pStyle w:val="BodyCN"/>
      </w:pPr>
      <w:r>
        <w:t>在认购尚未完成时，系统允许用户退出并取回大部分本金，同时保留一小部分摩擦费用，用来抑制纯 spam 式刷进度行为。 这部分机制的目的不是盈利，而是降低伪造热度、恶意占位和反复进出对真实认购秩序的破坏。</w:t>
      </w:r>
    </w:p>
    <w:p>
      <w:pPr>
        <w:pStyle w:val="SectionCN"/>
      </w:pPr>
      <w:r>
        <w:t>4. 产品流程</w:t>
      </w:r>
    </w:p>
    <w:p>
      <w:pPr>
        <w:pStyle w:val="SubsectionCN"/>
      </w:pPr>
      <w:r>
        <w:t>完整路径</w:t>
      </w:r>
    </w:p>
    <w:p>
      <w:pPr>
        <w:pStyle w:val="BodyCN"/>
      </w:pPr>
      <w:r>
        <w:t>一个标准 BondForge 发行，按以下顺序进行：</w:t>
      </w:r>
    </w:p>
    <w:p>
      <w:pPr>
        <w:pStyle w:val="BodyCN"/>
      </w:pPr>
      <w:r>
        <w:t>1) 项目方创建发行；</w:t>
      </w:r>
    </w:p>
    <w:p>
      <w:pPr>
        <w:pStyle w:val="BodyCN"/>
      </w:pPr>
      <w:r>
        <w:t>2) 用户按固定价格认购并获得 Pass NFT；</w:t>
      </w:r>
    </w:p>
    <w:p>
      <w:pPr>
        <w:pStyle w:val="BodyCN"/>
      </w:pPr>
      <w:r>
        <w:t>3) 在发行未达成前，用户可按规则退款；</w:t>
      </w:r>
    </w:p>
    <w:p>
      <w:pPr>
        <w:pStyle w:val="BodyCN"/>
      </w:pPr>
      <w:r>
        <w:t>4) 认购达成后，发行进入完成状态；</w:t>
      </w:r>
    </w:p>
    <w:p>
      <w:pPr>
        <w:pStyle w:val="BodyCN"/>
      </w:pPr>
      <w:r>
        <w:t>5) 领取窗口启动，Pass 持有者按时间领取代币；</w:t>
      </w:r>
    </w:p>
    <w:p>
      <w:pPr>
        <w:pStyle w:val="BodyCN"/>
      </w:pPr>
      <w:r>
        <w:t>6) 部分用户可选择提前退出，放弃未来部分权益。</w:t>
      </w:r>
    </w:p>
    <w:p>
      <w:pPr>
        <w:pStyle w:val="SubsectionCN"/>
      </w:pPr>
      <w:r>
        <w:t>面向前端的交互原则</w:t>
      </w:r>
    </w:p>
    <w:p>
      <w:pPr>
        <w:pStyle w:val="BodyCN"/>
      </w:pPr>
      <w:r>
        <w:t>产品前端会优先使用中文界面，让项目方与测试用户更容易理解参数含义与交易动作。后续版本再增加中英文切换。品牌名保持 BondForge 不翻译，以便长期统一协议形象。</w:t>
      </w:r>
    </w:p>
    <w:p>
      <w:pPr>
        <w:pStyle w:val="SectionCN"/>
      </w:pPr>
      <w:r>
        <w:t>5. MVP 范围</w:t>
      </w:r>
    </w:p>
    <w:p>
      <w:pPr>
        <w:pStyle w:val="SubsectionCN"/>
      </w:pPr>
      <w:r>
        <w:t>本阶段包含</w:t>
      </w:r>
    </w:p>
    <w:p>
      <w:pPr>
        <w:pStyle w:val="BodyCN"/>
      </w:pPr>
      <w:r>
        <w:t>当前 BSC 测试网 MVP 预计包含以下模块：</w:t>
      </w:r>
    </w:p>
    <w:p>
      <w:pPr>
        <w:pStyle w:val="BodyCN"/>
      </w:pPr>
      <w:r>
        <w:t>- 创建发行</w:t>
      </w:r>
    </w:p>
    <w:p>
      <w:pPr>
        <w:pStyle w:val="BodyCN"/>
      </w:pPr>
      <w:r>
        <w:t>- 固定价格认购</w:t>
      </w:r>
    </w:p>
    <w:p>
      <w:pPr>
        <w:pStyle w:val="BodyCN"/>
      </w:pPr>
      <w:r>
        <w:t>- 每钱包参与上限</w:t>
      </w:r>
    </w:p>
    <w:p>
      <w:pPr>
        <w:pStyle w:val="BodyCN"/>
      </w:pPr>
      <w:r>
        <w:t>- 认购未完成前退款</w:t>
      </w:r>
    </w:p>
    <w:p>
      <w:pPr>
        <w:pStyle w:val="BodyCN"/>
      </w:pPr>
      <w:r>
        <w:t>- 发行完成</w:t>
      </w:r>
    </w:p>
    <w:p>
      <w:pPr>
        <w:pStyle w:val="BodyCN"/>
      </w:pPr>
      <w:r>
        <w:t>- 项目方、协议方资金拆分</w:t>
      </w:r>
    </w:p>
    <w:p>
      <w:pPr>
        <w:pStyle w:val="BodyCN"/>
      </w:pPr>
      <w:r>
        <w:t>- Pass NFT 生成</w:t>
      </w:r>
    </w:p>
    <w:p>
      <w:pPr>
        <w:pStyle w:val="BodyCN"/>
      </w:pPr>
      <w:r>
        <w:t>- 代币按 vesting 领取</w:t>
      </w:r>
    </w:p>
    <w:p>
      <w:pPr>
        <w:pStyle w:val="BodyCN"/>
      </w:pPr>
      <w:r>
        <w:t>- 提前退出</w:t>
      </w:r>
    </w:p>
    <w:p>
      <w:pPr>
        <w:pStyle w:val="SubsectionCN"/>
      </w:pPr>
      <w:r>
        <w:t>本阶段暂不包含</w:t>
      </w:r>
    </w:p>
    <w:p>
      <w:pPr>
        <w:pStyle w:val="BodyCN"/>
      </w:pPr>
      <w:r>
        <w:t>以下能力在叙事上很重要，但不建议在 MVP 首发时全部塞入：</w:t>
      </w:r>
    </w:p>
    <w:p>
      <w:pPr>
        <w:pStyle w:val="BodyCN"/>
      </w:pPr>
      <w:r>
        <w:t>- 自动对接外部 AMM 加池并永久锁 LP</w:t>
      </w:r>
    </w:p>
    <w:p>
      <w:pPr>
        <w:pStyle w:val="BodyCN"/>
      </w:pPr>
      <w:r>
        <w:t>- NFT 与 Token 的双边手续费飞轮</w:t>
      </w:r>
    </w:p>
    <w:p>
      <w:pPr>
        <w:pStyle w:val="BodyCN"/>
      </w:pPr>
      <w:r>
        <w:t>- TWAP 清算池与复杂拍卖</w:t>
      </w:r>
    </w:p>
    <w:p>
      <w:pPr>
        <w:pStyle w:val="BodyCN"/>
      </w:pPr>
      <w:r>
        <w:t>- 多市场交易路由</w:t>
      </w:r>
    </w:p>
    <w:p>
      <w:pPr>
        <w:pStyle w:val="BodyCN"/>
      </w:pPr>
      <w:r>
        <w:t>- 自动回购和高级税收分配</w:t>
      </w:r>
    </w:p>
    <w:p>
      <w:pPr>
        <w:pStyle w:val="BodyCN"/>
      </w:pPr>
      <w:r>
        <w:t>这些内容可以在基础流程验证之后，按阶段逐步上线。</w:t>
      </w:r>
    </w:p>
    <w:p>
      <w:pPr>
        <w:pStyle w:val="SectionCN"/>
      </w:pPr>
      <w:r>
        <w:t>6. 经济与参数设计原则</w:t>
      </w:r>
    </w:p>
    <w:p>
      <w:pPr>
        <w:pStyle w:val="SubsectionCN"/>
      </w:pPr>
      <w:r>
        <w:t>资金分配</w:t>
      </w:r>
    </w:p>
    <w:p>
      <w:pPr>
        <w:pStyle w:val="BodyCN"/>
      </w:pPr>
      <w:r>
        <w:t>BondForge 支持把募资额按预先定义的结构拆分到不同用途，例如：流动性准备、项目方资金、协议费。当前设计可参考 90 / 8 / 2 这类清晰比例，但不同链、不同部署阶段可以做小幅调整。 关键不是某个数字本身绝对正确，而是规则必须在发行开始前公开、明确、可验证。</w:t>
      </w:r>
    </w:p>
    <w:p>
      <w:pPr>
        <w:pStyle w:val="SubsectionCN"/>
      </w:pPr>
      <w:r>
        <w:t>参数不是口号</w:t>
      </w:r>
    </w:p>
    <w:p>
      <w:pPr>
        <w:pStyle w:val="BodyCN"/>
      </w:pPr>
      <w:r>
        <w:t>钱包上限、退款摩擦比例、释放周期、提前退出折扣，都不应该被写成“绝对最优”参数。BondForge 更适合采用“可解释、可测试、可逐步校准”的方法，而不是把所有数字包装成天生无敌。</w:t>
      </w:r>
    </w:p>
    <w:p>
      <w:pPr>
        <w:pStyle w:val="SubsectionCN"/>
      </w:pPr>
      <w:r>
        <w:t>MVP 的现实原则</w:t>
      </w:r>
    </w:p>
    <w:p>
      <w:pPr>
        <w:pStyle w:val="BodyCN"/>
      </w:pPr>
      <w:r>
        <w:t>对于测试网版本，最重要的是把产品主路径跑通，而不是在第一天就堆满最复杂的经济飞轮。先验证是否有人愿意创建发行、是否有人愿意使用 Pass 模式参与、以及用户是否能理解并接受渐进释放，再考虑做更重的金融工程。</w:t>
      </w:r>
    </w:p>
    <w:p>
      <w:pPr>
        <w:pStyle w:val="SectionCN"/>
      </w:pPr>
      <w:r>
        <w:t>7. 与传统 Launchpad 的差异</w:t>
      </w:r>
    </w:p>
    <w:p>
      <w:pPr>
        <w:pStyle w:val="SubsectionCN"/>
      </w:pPr>
      <w:r>
        <w:t>传统模型</w:t>
      </w:r>
    </w:p>
    <w:p>
      <w:pPr>
        <w:pStyle w:val="BodyCN"/>
      </w:pPr>
      <w:r>
        <w:t>传统发射更像一场高频 PvP：谁更快、谁更会抢、谁更懂节奏，谁就先拿到最便宜筹码。对项目方来说，这种模式虽然可能快速起量，但往往也会更快制造开盘后的结构性抛压。</w:t>
      </w:r>
    </w:p>
    <w:p>
      <w:pPr>
        <w:pStyle w:val="SubsectionCN"/>
      </w:pPr>
      <w:r>
        <w:t>BondForge 模型</w:t>
      </w:r>
    </w:p>
    <w:p>
      <w:pPr>
        <w:pStyle w:val="BodyCN"/>
      </w:pPr>
      <w:r>
        <w:t>BondForge 更强调入场公平、领取分层和行为预期。用户并不是靠极限抢跑赚价差，而是在同一价格下获得未来领取权；项目方也不是只靠首发瞬间完成叙事，而是把发行、领取和后续流通拆成更清楚的阶段。</w:t>
      </w:r>
    </w:p>
    <w:p>
      <w:pPr>
        <w:pStyle w:val="SectionCN"/>
      </w:pPr>
      <w:r>
        <w:t>8. 风险披露</w:t>
      </w:r>
    </w:p>
    <w:p>
      <w:pPr>
        <w:pStyle w:val="SubsectionCN"/>
      </w:pPr>
      <w:r>
        <w:t>用户风险</w:t>
      </w:r>
    </w:p>
    <w:p>
      <w:pPr>
        <w:pStyle w:val="BodyCN"/>
      </w:pPr>
      <w:r>
        <w:t>BondForge 属于实验性链上基础设施。任何参与者都应当意识到以下风险始终存在：合约风险、产品逻辑风险、市场波动风险、流动性不足风险、NFT 定价偏差风险、第三方基础设施风险，以及不同司法辖区下的监管不确定性。</w:t>
      </w:r>
    </w:p>
    <w:p>
      <w:pPr>
        <w:pStyle w:val="SubsectionCN"/>
      </w:pPr>
      <w:r>
        <w:t>不做过度承诺</w:t>
      </w:r>
    </w:p>
    <w:p>
      <w:pPr>
        <w:pStyle w:val="BodyCN"/>
      </w:pPr>
      <w:r>
        <w:t>BondForge 不承诺盈利，不承诺价格上涨，也不承诺永久流动性或持续高交易量。它想优化的是发行结构，而不是制造“只会上涨”的幻觉。</w:t>
      </w:r>
    </w:p>
    <w:p>
      <w:pPr>
        <w:pStyle w:val="SectionCN"/>
      </w:pPr>
      <w:r>
        <w:t>9. 品牌与官网表达</w:t>
      </w:r>
    </w:p>
    <w:p>
      <w:pPr>
        <w:pStyle w:val="SubsectionCN"/>
      </w:pPr>
      <w:r>
        <w:t>品牌名</w:t>
      </w:r>
    </w:p>
    <w:p>
      <w:pPr>
        <w:pStyle w:val="BodyCN"/>
      </w:pPr>
      <w:r>
        <w:t>协议主品牌采用 BondForge。该名称兼顾了资产铸造感、协议感和长期品牌延展性，适合作为独立域名与官网主标识。</w:t>
      </w:r>
    </w:p>
    <w:p>
      <w:pPr>
        <w:pStyle w:val="SubsectionCN"/>
      </w:pPr>
      <w:r>
        <w:t>首页建议文案</w:t>
      </w:r>
    </w:p>
    <w:p>
      <w:pPr>
        <w:pStyle w:val="BodyCN"/>
      </w:pPr>
      <w:r>
        <w:t>主标题建议使用：更公平的链上发行方式。</w:t>
      </w:r>
    </w:p>
    <w:p>
      <w:pPr>
        <w:pStyle w:val="BodyCN"/>
      </w:pPr>
      <w:r>
        <w:t>副标题建议使用：BondForge 用固定价格认购、NFT Pass 凭证和渐进释放机制，替代抢跑式发射。</w:t>
      </w:r>
    </w:p>
    <w:p>
      <w:pPr>
        <w:pStyle w:val="BodyCN"/>
      </w:pPr>
      <w:r>
        <w:t>按钮建议使用：创建发行、查看项目、阅读白皮书。</w:t>
      </w:r>
    </w:p>
    <w:p>
      <w:pPr>
        <w:pStyle w:val="SubsectionCN"/>
      </w:pPr>
      <w:r>
        <w:t>语言策略</w:t>
      </w:r>
    </w:p>
    <w:p>
      <w:pPr>
        <w:pStyle w:val="BodyCN"/>
      </w:pPr>
      <w:r>
        <w:t>首发官网建议先采用中文界面，以加快验证与迭代速度；在文案组织上预留多语言结构，后续再补英文版。品牌名、项目名、合约名等协议级标识保持英文。</w:t>
      </w:r>
    </w:p>
    <w:p>
      <w:pPr>
        <w:pStyle w:val="SectionCN"/>
      </w:pPr>
      <w:r>
        <w:t>10. 路线图</w:t>
      </w:r>
    </w:p>
    <w:p>
      <w:pPr>
        <w:pStyle w:val="SubsectionCN"/>
      </w:pPr>
      <w:r>
        <w:t>阶段一：测试网验证</w:t>
      </w:r>
    </w:p>
    <w:p>
      <w:pPr>
        <w:pStyle w:val="BodyCN"/>
      </w:pPr>
      <w:r>
        <w:t>完成 BSC 测试网 MVP，重点验证创建发行、认购、退款、Pass NFT、领取和提前退出这条完整路径；同步打磨官网、Litepaper 和基础交互。</w:t>
      </w:r>
    </w:p>
    <w:p>
      <w:pPr>
        <w:pStyle w:val="SubsectionCN"/>
      </w:pPr>
      <w:r>
        <w:t>阶段二：主网最小可用版本</w:t>
      </w:r>
    </w:p>
    <w:p>
      <w:pPr>
        <w:pStyle w:val="BodyCN"/>
      </w:pPr>
      <w:r>
        <w:t>在测试网验证通过后，进入主网最小可用版本，开始引入更清晰的项目方控制台、发行数据展示、基础运营面板和有限的链上统计。</w:t>
      </w:r>
    </w:p>
    <w:p>
      <w:pPr>
        <w:pStyle w:val="SubsectionCN"/>
      </w:pPr>
      <w:r>
        <w:t>阶段三：高级机制扩展</w:t>
      </w:r>
    </w:p>
    <w:p>
      <w:pPr>
        <w:pStyle w:val="BodyCN"/>
      </w:pPr>
      <w:r>
        <w:t>在核心流程获得稳定反馈后，再逐步考虑 AMM 集成、流动性锁定、二级市场机制联动、回购路由和更复杂的税收飞轮。</w:t>
      </w:r>
    </w:p>
    <w:p>
      <w:pPr>
        <w:pStyle w:val="SectionCN"/>
      </w:pPr>
      <w:r>
        <w:t>11. 结语</w:t>
      </w:r>
    </w:p>
    <w:p>
      <w:pPr>
        <w:pStyle w:val="SubsectionCN"/>
      </w:pPr>
      <w:r>
        <w:t>最后一句话</w:t>
      </w:r>
    </w:p>
    <w:p>
      <w:pPr>
        <w:pStyle w:val="BodyCN"/>
      </w:pPr>
      <w:r>
        <w:t>BondForge 想做的，不是再造一个更吵闹的发射台，而是把“发行”这件事重新做得更清楚、更公平、更有节奏。 在这个版本里，我们先做正确的第一步：先让认购、凭证和释放这三件事建立起可信的产品闭环。</w:t>
      </w:r>
    </w:p>
    <w:p>
      <w:pPr>
        <w:pStyle w:val="SectionCN"/>
      </w:pPr>
      <w:r>
        <w:t>12. 一页速览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fill="DCEA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14A7A"/>
                <w:sz w:val="19"/>
              </w:rPr>
              <w:t>模块</w:t>
            </w:r>
          </w:p>
        </w:tc>
        <w:tc>
          <w:tcPr>
            <w:tcW w:type="dxa" w:w="2381"/>
            <w:shd w:fill="DCEA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14A7A"/>
                <w:sz w:val="19"/>
              </w:rPr>
              <w:t>当前做什么</w:t>
            </w:r>
          </w:p>
        </w:tc>
        <w:tc>
          <w:tcPr>
            <w:tcW w:type="dxa" w:w="2381"/>
            <w:shd w:fill="DCEA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14A7A"/>
                <w:sz w:val="19"/>
              </w:rPr>
              <w:t>为什么先这样</w:t>
            </w:r>
          </w:p>
        </w:tc>
        <w:tc>
          <w:tcPr>
            <w:tcW w:type="dxa" w:w="2381"/>
            <w:shd w:fill="DCEA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14A7A"/>
                <w:sz w:val="19"/>
              </w:rPr>
              <w:t>后续可扩展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2937"/>
                <w:sz w:val="19"/>
              </w:rPr>
              <w:t>认购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固定价格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降低抢跑不公平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支持更多发行模板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2937"/>
                <w:sz w:val="19"/>
              </w:rPr>
              <w:t>凭证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NFT Pass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让份额可编程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增加稀有度与可组合性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2937"/>
                <w:sz w:val="19"/>
              </w:rPr>
              <w:t>分发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按时间领取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减轻瞬时抛压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支持更复杂 vesting 曲线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2937"/>
                <w:sz w:val="19"/>
              </w:rPr>
              <w:t>退出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退款 / 提前退出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给弱手合理出口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2937"/>
                <w:sz w:val="19"/>
              </w:rPr>
              <w:t>接入更高级清算逻辑</w:t>
            </w:r>
          </w:p>
        </w:tc>
      </w:tr>
    </w:tbl>
    <w:p>
      <w:pPr>
        <w:pStyle w:val="BodyCN"/>
      </w:pPr>
    </w:p>
    <w:p>
      <w:pPr>
        <w:pStyle w:val="SmallCN"/>
        <w:jc w:val="center"/>
      </w:pPr>
      <w:r>
        <w:rPr>
          <w:rFonts w:ascii="Arial" w:hAnsi="Arial" w:eastAsia="Microsoft YaHei"/>
          <w:color w:val="6B7280"/>
          <w:sz w:val="18"/>
        </w:rPr>
        <w:t>BondForge Litepaper v1.0 - 中文初稿 - 面向官网与 BSC 测试网 MVP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pPr>
      <w:spacing w:after="80"/>
    </w:pPr>
    <w:rPr>
      <w:rFonts w:ascii="Arial" w:hAnsi="Arial" w:eastAsia="Microsoft YaHei UI"/>
      <w:b/>
      <w:color w:val="101828"/>
      <w:sz w:val="52"/>
    </w:rPr>
  </w:style>
  <w:style w:type="paragraph" w:customStyle="1" w:styleId="SubtitleCN">
    <w:name w:val="SubtitleCN"/>
    <w:pPr>
      <w:spacing w:after="240"/>
    </w:pPr>
    <w:rPr>
      <w:rFonts w:ascii="Arial" w:hAnsi="Arial" w:eastAsia="Microsoft YaHei"/>
      <w:color w:val="4B5563"/>
      <w:sz w:val="24"/>
    </w:rPr>
  </w:style>
  <w:style w:type="paragraph" w:customStyle="1" w:styleId="SectionCN">
    <w:name w:val="SectionCN"/>
    <w:pPr>
      <w:keepNext/>
      <w:spacing w:before="200" w:after="120"/>
    </w:pPr>
    <w:rPr>
      <w:rFonts w:ascii="Arial" w:hAnsi="Arial" w:eastAsia="Microsoft YaHei UI"/>
      <w:b/>
      <w:color w:val="114A7A"/>
      <w:sz w:val="30"/>
    </w:rPr>
  </w:style>
  <w:style w:type="paragraph" w:customStyle="1" w:styleId="SubsectionCN">
    <w:name w:val="SubsectionCN"/>
    <w:pPr>
      <w:keepNext/>
      <w:spacing w:before="120" w:after="60"/>
    </w:pPr>
    <w:rPr>
      <w:rFonts w:ascii="Arial" w:hAnsi="Arial" w:eastAsia="Microsoft YaHei"/>
      <w:b/>
      <w:color w:val="1F2937"/>
      <w:sz w:val="23"/>
    </w:rPr>
  </w:style>
  <w:style w:type="paragraph" w:customStyle="1" w:styleId="BodyCN">
    <w:name w:val="BodyCN"/>
    <w:pPr>
      <w:spacing w:lineRule="auto" w:line="300" w:after="120"/>
    </w:pPr>
    <w:rPr>
      <w:rFonts w:ascii="Arial" w:hAnsi="Arial" w:eastAsia="Microsoft YaHei"/>
      <w:sz w:val="21"/>
    </w:rPr>
  </w:style>
  <w:style w:type="paragraph" w:customStyle="1" w:styleId="QuoteCN">
    <w:name w:val="QuoteCN"/>
    <w:pPr>
      <w:spacing w:after="120"/>
      <w:ind w:left="283" w:right="283"/>
    </w:pPr>
    <w:rPr>
      <w:rFonts w:ascii="Arial" w:hAnsi="Arial" w:eastAsia="Microsoft YaHei"/>
      <w:i/>
      <w:color w:val="374151"/>
      <w:sz w:val="22"/>
    </w:rPr>
  </w:style>
  <w:style w:type="paragraph" w:customStyle="1" w:styleId="SmallCN">
    <w:name w:val="SmallCN"/>
    <w:pPr>
      <w:spacing w:after="80"/>
    </w:pPr>
    <w:rPr>
      <w:rFonts w:ascii="Arial" w:hAnsi="Arial" w:eastAsia="Microsoft YaHe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