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63F3B"/>
          <w:sz w:val="60"/>
        </w:rPr>
        <w:t>Shop Afrik</w:t>
      </w:r>
    </w:p>
    <w:p>
      <w:pPr>
        <w:spacing w:after="360"/>
      </w:pPr>
      <w:r>
        <w:rPr>
          <w:color w:val="0BA99D"/>
          <w:sz w:val="36"/>
        </w:rPr>
        <w:t>Project Plan and Technical Roadmap</w:t>
      </w:r>
    </w:p>
    <w:p>
      <w:pPr>
        <w:pStyle w:val="BodyText"/>
      </w:pPr>
      <w:r>
        <w:t>A professional planning brief for building Shop Afrik as a full African e-commerce marketplace integrated with QR Wallet business payments.</w:t>
      </w:r>
    </w:p>
    <w:tbl>
      <w:tblPr>
        <w:tblW w:type="auto" w:w="0"/>
        <w:jc w:val="left"/>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2592"/>
        <w:gridCol w:w="6480"/>
      </w:tblGrid>
      <w:tr>
        <w:tc>
          <w:tcPr>
            <w:tcW w:type="dxa" w:w="2592"/>
            <w:vAlign w:val="center"/>
          </w:tcPr>
          <w:p>
            <w:pPr>
              <w:spacing w:after="0"/>
            </w:pPr>
            <w:r/>
            <w:r>
              <w:rPr>
                <w:rFonts w:ascii="Calibri" w:hAnsi="Calibri"/>
                <w:b/>
                <w:color w:val="063F3B"/>
                <w:sz w:val="19"/>
              </w:rPr>
              <w:t>Document type</w:t>
            </w:r>
          </w:p>
        </w:tc>
        <w:tc>
          <w:tcPr>
            <w:tcW w:type="dxa" w:w="6480"/>
            <w:vAlign w:val="center"/>
          </w:tcPr>
          <w:p>
            <w:pPr>
              <w:spacing w:after="0"/>
            </w:pPr>
            <w:r/>
            <w:r>
              <w:rPr>
                <w:rFonts w:ascii="Calibri" w:hAnsi="Calibri"/>
                <w:b w:val="0"/>
                <w:color w:val="1F2933"/>
                <w:sz w:val="19"/>
              </w:rPr>
              <w:t>Product plan, architecture brief, and implementation roadmap</w:t>
            </w:r>
          </w:p>
        </w:tc>
      </w:tr>
      <w:tr>
        <w:tc>
          <w:tcPr>
            <w:tcW w:type="dxa" w:w="2592"/>
            <w:vAlign w:val="center"/>
          </w:tcPr>
          <w:p>
            <w:pPr>
              <w:spacing w:after="0"/>
            </w:pPr>
            <w:r/>
            <w:r>
              <w:rPr>
                <w:rFonts w:ascii="Calibri" w:hAnsi="Calibri"/>
                <w:b/>
                <w:color w:val="063F3B"/>
                <w:sz w:val="19"/>
              </w:rPr>
              <w:t>Prepared for</w:t>
            </w:r>
          </w:p>
        </w:tc>
        <w:tc>
          <w:tcPr>
            <w:tcW w:type="dxa" w:w="6480"/>
            <w:vAlign w:val="center"/>
          </w:tcPr>
          <w:p>
            <w:pPr>
              <w:spacing w:after="0"/>
            </w:pPr>
            <w:r/>
            <w:r>
              <w:rPr>
                <w:rFonts w:ascii="Calibri" w:hAnsi="Calibri"/>
                <w:b w:val="0"/>
                <w:color w:val="1F2933"/>
                <w:sz w:val="19"/>
              </w:rPr>
              <w:t>Shop Afrik project kickoff</w:t>
            </w:r>
          </w:p>
        </w:tc>
      </w:tr>
      <w:tr>
        <w:tc>
          <w:tcPr>
            <w:tcW w:type="dxa" w:w="2592"/>
            <w:vAlign w:val="center"/>
          </w:tcPr>
          <w:p>
            <w:pPr>
              <w:spacing w:after="0"/>
            </w:pPr>
            <w:r/>
            <w:r>
              <w:rPr>
                <w:rFonts w:ascii="Calibri" w:hAnsi="Calibri"/>
                <w:b/>
                <w:color w:val="063F3B"/>
                <w:sz w:val="19"/>
              </w:rPr>
              <w:t>Version</w:t>
            </w:r>
          </w:p>
        </w:tc>
        <w:tc>
          <w:tcPr>
            <w:tcW w:type="dxa" w:w="6480"/>
            <w:vAlign w:val="center"/>
          </w:tcPr>
          <w:p>
            <w:pPr>
              <w:spacing w:after="0"/>
            </w:pPr>
            <w:r/>
            <w:r>
              <w:rPr>
                <w:rFonts w:ascii="Calibri" w:hAnsi="Calibri"/>
                <w:b w:val="0"/>
                <w:color w:val="1F2933"/>
                <w:sz w:val="19"/>
              </w:rPr>
              <w:t>Planning draft 1.0</w:t>
            </w:r>
          </w:p>
        </w:tc>
      </w:tr>
      <w:tr>
        <w:tc>
          <w:tcPr>
            <w:tcW w:type="dxa" w:w="2592"/>
            <w:vAlign w:val="center"/>
          </w:tcPr>
          <w:p>
            <w:pPr>
              <w:spacing w:after="0"/>
            </w:pPr>
            <w:r/>
            <w:r>
              <w:rPr>
                <w:rFonts w:ascii="Calibri" w:hAnsi="Calibri"/>
                <w:b/>
                <w:color w:val="063F3B"/>
                <w:sz w:val="19"/>
              </w:rPr>
              <w:t>Date</w:t>
            </w:r>
          </w:p>
        </w:tc>
        <w:tc>
          <w:tcPr>
            <w:tcW w:type="dxa" w:w="6480"/>
            <w:vAlign w:val="center"/>
          </w:tcPr>
          <w:p>
            <w:pPr>
              <w:spacing w:after="0"/>
            </w:pPr>
            <w:r/>
            <w:r>
              <w:rPr>
                <w:rFonts w:ascii="Calibri" w:hAnsi="Calibri"/>
                <w:b w:val="0"/>
                <w:color w:val="1F2933"/>
                <w:sz w:val="19"/>
              </w:rPr>
              <w:t>June 5, 2026</w:t>
            </w:r>
          </w:p>
        </w:tc>
      </w:tr>
      <w:tr>
        <w:tc>
          <w:tcPr>
            <w:tcW w:type="dxa" w:w="2592"/>
            <w:vAlign w:val="center"/>
          </w:tcPr>
          <w:p>
            <w:pPr>
              <w:spacing w:after="0"/>
            </w:pPr>
            <w:r/>
            <w:r>
              <w:rPr>
                <w:rFonts w:ascii="Calibri" w:hAnsi="Calibri"/>
                <w:b/>
                <w:color w:val="063F3B"/>
                <w:sz w:val="19"/>
              </w:rPr>
              <w:t>Source material</w:t>
            </w:r>
          </w:p>
        </w:tc>
        <w:tc>
          <w:tcPr>
            <w:tcW w:type="dxa" w:w="6480"/>
            <w:vAlign w:val="center"/>
          </w:tcPr>
          <w:p>
            <w:pPr>
              <w:spacing w:after="0"/>
            </w:pPr>
            <w:r/>
            <w:r>
              <w:rPr>
                <w:rFonts w:ascii="Calibri" w:hAnsi="Calibri"/>
                <w:b w:val="0"/>
                <w:color w:val="1F2933"/>
                <w:sz w:val="19"/>
              </w:rPr>
              <w:t>Existing Shop Afrik specs, QR Wallet integration plans, and visual color reference</w:t>
            </w:r>
          </w:p>
        </w:tc>
      </w:tr>
    </w:tbl>
    <w:p/>
    <w:tbl>
      <w:tblPr>
        <w:tblW w:type="auto" w:w="0"/>
        <w:jc w:val="center"/>
        <w:tblLayout w:type="fixed"/>
        <w:tblLook w:firstColumn="1" w:firstRow="1" w:lastColumn="0" w:lastRow="0" w:noHBand="0" w:noVBand="1" w:val="04A0"/>
        <w:tblBorders>
          <w:top w:val="single" w:sz="4" w:space="0" w:color="BDEDE7"/>
          <w:left w:val="single" w:sz="4" w:space="0" w:color="BDEDE7"/>
          <w:bottom w:val="single" w:sz="4" w:space="0" w:color="BDEDE7"/>
          <w:right w:val="single" w:sz="4" w:space="0" w:color="BDEDE7"/>
          <w:insideH w:val="single" w:sz="4" w:space="0" w:color="BDEDE7"/>
          <w:insideV w:val="single" w:sz="4" w:space="0" w:color="BDEDE7"/>
        </w:tblBorders>
      </w:tblPr>
      <w:tblGrid>
        <w:gridCol w:w="9216"/>
      </w:tblGrid>
      <w:tr>
        <w:tc>
          <w:tcPr>
            <w:tcW w:type="dxa" w:w="9360"/>
            <w:shd w:fill="F3FBFA"/>
          </w:tcPr>
          <w:p>
            <w:pPr>
              <w:spacing w:after="60"/>
            </w:pPr>
            <w:r>
              <w:rPr>
                <w:b/>
                <w:color w:val="063F3B"/>
                <w:sz w:val="22"/>
              </w:rPr>
              <w:t>Planning Position</w:t>
            </w:r>
          </w:p>
          <w:p>
            <w:pPr>
              <w:spacing w:after="0"/>
            </w:pPr>
            <w:r>
              <w:rPr>
                <w:color w:val="1F2933"/>
                <w:sz w:val="20"/>
              </w:rPr>
              <w:t>Start with a focused marketplace MVP: buyer shopping, seller product management, admin approvals, QR Wallet pay-now checkout, order tracking, refunds, and day-8 seller settlement. Defer deep links and pay-on-delivery until the core marketplace flow is stable.</w:t>
            </w:r>
          </w:p>
        </w:tc>
      </w:tr>
    </w:tbl>
    <w:p/>
    <w:p>
      <w:r>
        <w:br w:type="page"/>
      </w:r>
    </w:p>
    <w:p>
      <w:pPr>
        <w:pStyle w:val="Heading1"/>
      </w:pPr>
      <w:r>
        <w:t>1. Executive Summary</w:t>
      </w:r>
    </w:p>
    <w:p>
      <w:pPr>
        <w:pStyle w:val="BodyText"/>
      </w:pPr>
      <w:r>
        <w:t>Shop Afrik is planned as a full multi-seller e-commerce marketplace for African markets. The platform will support buyers, sellers, and administrators while using QR Wallet as the trusted payment rail. The first release should prove the core marketplace loop: discover a product, place an order, pay through QR Wallet, fulfill the order, handle refunds within a clear window, and settle sellers after the refund period.</w:t>
      </w:r>
    </w:p>
    <w:tbl>
      <w:tblPr>
        <w:tblW w:type="auto" w:w="0"/>
        <w:jc w:val="center"/>
        <w:tblLayout w:type="fixed"/>
        <w:tblLook w:firstColumn="1" w:firstRow="1" w:lastColumn="0" w:lastRow="0" w:noHBand="0" w:noVBand="1" w:val="04A0"/>
        <w:tblBorders>
          <w:top w:val="single" w:sz="4" w:space="0" w:color="BDEDE7"/>
          <w:left w:val="single" w:sz="4" w:space="0" w:color="BDEDE7"/>
          <w:bottom w:val="single" w:sz="4" w:space="0" w:color="BDEDE7"/>
          <w:right w:val="single" w:sz="4" w:space="0" w:color="BDEDE7"/>
          <w:insideH w:val="single" w:sz="4" w:space="0" w:color="BDEDE7"/>
          <w:insideV w:val="single" w:sz="4" w:space="0" w:color="BDEDE7"/>
        </w:tblBorders>
      </w:tblPr>
      <w:tblGrid>
        <w:gridCol w:w="9216"/>
      </w:tblGrid>
      <w:tr>
        <w:tc>
          <w:tcPr>
            <w:tcW w:type="dxa" w:w="9360"/>
            <w:shd w:fill="F3FBFA"/>
          </w:tcPr>
          <w:p>
            <w:pPr>
              <w:spacing w:after="60"/>
            </w:pPr>
            <w:r>
              <w:rPr>
                <w:b/>
                <w:color w:val="063F3B"/>
                <w:sz w:val="22"/>
              </w:rPr>
              <w:t>Recommended MVP</w:t>
            </w:r>
          </w:p>
          <w:p>
            <w:pPr>
              <w:spacing w:after="0"/>
            </w:pPr>
            <w:r>
              <w:rPr>
                <w:color w:val="1F2933"/>
                <w:sz w:val="20"/>
              </w:rPr>
              <w:t>Build a mobile-first Flutter marketplace backed by a dedicated Shop Afrik Firebase project. Use QR Wallet merchant QR payment for v1, require seller KYC through QR Wallet, and hold proceeds in the Shop Afrik business wallet until day 8 after delivery.</w:t>
            </w:r>
          </w:p>
        </w:tc>
      </w:tr>
    </w:tbl>
    <w:p/>
    <w:p>
      <w:pPr>
        <w:pStyle w:val="Heading1"/>
      </w:pPr>
      <w:r>
        <w:t>2. Product Vision</w:t>
      </w:r>
    </w:p>
    <w:p>
      <w:pPr>
        <w:pStyle w:val="BodyText"/>
      </w:pPr>
      <w:r>
        <w:t>Shop Afrik should feel like a trusted African commerce platform: practical enough for everyday shopping, strong enough for seller operations, and disciplined enough for payments, refunds, and admin control. The product should eventually support multiple African countries, local currencies, QR Wallet payments, mobile money expansion, and country-specific logistics.</w:t>
      </w:r>
    </w:p>
    <w:p>
      <w:pPr>
        <w:pStyle w:val="ListBullet"/>
      </w:pPr>
      <w:r>
        <w:t>Buyers can discover products, compare options, pay securely, track orders, and request refunds.</w:t>
      </w:r>
    </w:p>
    <w:p>
      <w:pPr>
        <w:pStyle w:val="ListBullet"/>
      </w:pPr>
      <w:r>
        <w:t>Sellers can onboard, upload products, manage stock, process orders, and monitor earnings.</w:t>
      </w:r>
    </w:p>
    <w:p>
      <w:pPr>
        <w:pStyle w:val="ListBullet"/>
      </w:pPr>
      <w:r>
        <w:t>Admins can approve sellers and products, manage refunds, configure commissions, view reports, and investigate risk.</w:t>
      </w:r>
    </w:p>
    <w:p>
      <w:pPr>
        <w:pStyle w:val="ListBullet"/>
      </w:pPr>
      <w:r>
        <w:t>QR Wallet remains the payment foundation while Shop Afrik owns the e-commerce experience.</w:t>
      </w:r>
    </w:p>
    <w:p>
      <w:pPr>
        <w:pStyle w:val="Heading1"/>
      </w:pPr>
      <w:r>
        <w:t>3. Product Scope</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1944"/>
        <w:gridCol w:w="4464"/>
        <w:gridCol w:w="2808"/>
      </w:tblGrid>
      <w:tr>
        <w:trPr>
          <w:tblHeader w:val="true"/>
        </w:trPr>
        <w:tc>
          <w:tcPr>
            <w:tcW w:type="dxa" w:w="3120"/>
            <w:shd w:fill="063F3B"/>
            <w:vAlign w:val="center"/>
          </w:tcPr>
          <w:p>
            <w:pPr>
              <w:spacing w:after="0"/>
            </w:pPr>
            <w:r/>
            <w:r>
              <w:rPr>
                <w:rFonts w:ascii="Calibri" w:hAnsi="Calibri"/>
                <w:b/>
                <w:color w:val="FFFFFF"/>
                <w:sz w:val="19"/>
              </w:rPr>
              <w:t>Area</w:t>
            </w:r>
          </w:p>
        </w:tc>
        <w:tc>
          <w:tcPr>
            <w:tcW w:type="dxa" w:w="3120"/>
            <w:shd w:fill="063F3B"/>
            <w:vAlign w:val="center"/>
          </w:tcPr>
          <w:p>
            <w:pPr>
              <w:spacing w:after="0"/>
            </w:pPr>
            <w:r/>
            <w:r>
              <w:rPr>
                <w:rFonts w:ascii="Calibri" w:hAnsi="Calibri"/>
                <w:b/>
                <w:color w:val="FFFFFF"/>
                <w:sz w:val="19"/>
              </w:rPr>
              <w:t>MVP Scope</w:t>
            </w:r>
          </w:p>
        </w:tc>
        <w:tc>
          <w:tcPr>
            <w:tcW w:type="dxa" w:w="3120"/>
            <w:shd w:fill="063F3B"/>
            <w:vAlign w:val="center"/>
          </w:tcPr>
          <w:p>
            <w:pPr>
              <w:spacing w:after="0"/>
            </w:pPr>
            <w:r/>
            <w:r>
              <w:rPr>
                <w:rFonts w:ascii="Calibri" w:hAnsi="Calibri"/>
                <w:b/>
                <w:color w:val="FFFFFF"/>
                <w:sz w:val="19"/>
              </w:rPr>
              <w:t>Deferred</w:t>
            </w:r>
          </w:p>
        </w:tc>
      </w:tr>
      <w:tr>
        <w:tc>
          <w:tcPr>
            <w:tcW w:type="dxa" w:w="1944"/>
            <w:vAlign w:val="center"/>
          </w:tcPr>
          <w:p>
            <w:pPr>
              <w:spacing w:after="0"/>
            </w:pPr>
            <w:r/>
            <w:r>
              <w:rPr>
                <w:rFonts w:ascii="Calibri" w:hAnsi="Calibri"/>
                <w:b w:val="0"/>
                <w:color w:val="1F2933"/>
                <w:sz w:val="18"/>
              </w:rPr>
              <w:t>Buyer app</w:t>
            </w:r>
          </w:p>
        </w:tc>
        <w:tc>
          <w:tcPr>
            <w:tcW w:type="dxa" w:w="4464"/>
            <w:vAlign w:val="center"/>
          </w:tcPr>
          <w:p>
            <w:pPr>
              <w:spacing w:after="0"/>
            </w:pPr>
            <w:r/>
            <w:r>
              <w:rPr>
                <w:rFonts w:ascii="Calibri" w:hAnsi="Calibri"/>
                <w:b w:val="0"/>
                <w:color w:val="1F2933"/>
                <w:sz w:val="18"/>
              </w:rPr>
              <w:t>Auth, catalog, product detail, cart, QR checkout, orders, refunds, wishlist, reviews</w:t>
            </w:r>
          </w:p>
        </w:tc>
        <w:tc>
          <w:tcPr>
            <w:tcW w:type="dxa" w:w="2808"/>
            <w:vAlign w:val="center"/>
          </w:tcPr>
          <w:p>
            <w:pPr>
              <w:spacing w:after="0"/>
            </w:pPr>
            <w:r/>
            <w:r>
              <w:rPr>
                <w:rFonts w:ascii="Calibri" w:hAnsi="Calibri"/>
                <w:b w:val="0"/>
                <w:color w:val="1F2933"/>
                <w:sz w:val="18"/>
              </w:rPr>
              <w:t>Live chat, flash sales, comparison, price-drop alerts</w:t>
            </w:r>
          </w:p>
        </w:tc>
      </w:tr>
      <w:tr>
        <w:tc>
          <w:tcPr>
            <w:tcW w:type="dxa" w:w="1944"/>
            <w:vAlign w:val="center"/>
          </w:tcPr>
          <w:p>
            <w:pPr>
              <w:spacing w:after="0"/>
            </w:pPr>
            <w:r/>
            <w:r>
              <w:rPr>
                <w:rFonts w:ascii="Calibri" w:hAnsi="Calibri"/>
                <w:b w:val="0"/>
                <w:color w:val="1F2933"/>
                <w:sz w:val="18"/>
              </w:rPr>
              <w:t>Seller dashboard</w:t>
            </w:r>
          </w:p>
        </w:tc>
        <w:tc>
          <w:tcPr>
            <w:tcW w:type="dxa" w:w="4464"/>
            <w:vAlign w:val="center"/>
          </w:tcPr>
          <w:p>
            <w:pPr>
              <w:spacing w:after="0"/>
            </w:pPr>
            <w:r/>
            <w:r>
              <w:rPr>
                <w:rFonts w:ascii="Calibri" w:hAnsi="Calibri"/>
                <w:b w:val="0"/>
                <w:color w:val="1F2933"/>
                <w:sz w:val="18"/>
              </w:rPr>
              <w:t>Seller onboarding, KYC check, product CRUD, inventory, order updates, payout visibility</w:t>
            </w:r>
          </w:p>
        </w:tc>
        <w:tc>
          <w:tcPr>
            <w:tcW w:type="dxa" w:w="2808"/>
            <w:vAlign w:val="center"/>
          </w:tcPr>
          <w:p>
            <w:pPr>
              <w:spacing w:after="0"/>
            </w:pPr>
            <w:r/>
            <w:r>
              <w:rPr>
                <w:rFonts w:ascii="Calibri" w:hAnsi="Calibri"/>
                <w:b w:val="0"/>
                <w:color w:val="1F2933"/>
                <w:sz w:val="18"/>
              </w:rPr>
              <w:t>Bulk CSV upload, advanced analytics, coupons, vacation mode</w:t>
            </w:r>
          </w:p>
        </w:tc>
      </w:tr>
      <w:tr>
        <w:tc>
          <w:tcPr>
            <w:tcW w:type="dxa" w:w="1944"/>
            <w:vAlign w:val="center"/>
          </w:tcPr>
          <w:p>
            <w:pPr>
              <w:spacing w:after="0"/>
            </w:pPr>
            <w:r/>
            <w:r>
              <w:rPr>
                <w:rFonts w:ascii="Calibri" w:hAnsi="Calibri"/>
                <w:b w:val="0"/>
                <w:color w:val="1F2933"/>
                <w:sz w:val="18"/>
              </w:rPr>
              <w:t>Admin dashboard</w:t>
            </w:r>
          </w:p>
        </w:tc>
        <w:tc>
          <w:tcPr>
            <w:tcW w:type="dxa" w:w="4464"/>
            <w:vAlign w:val="center"/>
          </w:tcPr>
          <w:p>
            <w:pPr>
              <w:spacing w:after="0"/>
            </w:pPr>
            <w:r/>
            <w:r>
              <w:rPr>
                <w:rFonts w:ascii="Calibri" w:hAnsi="Calibri"/>
                <w:b w:val="0"/>
                <w:color w:val="1F2933"/>
                <w:sz w:val="18"/>
              </w:rPr>
              <w:t>Seller/product approval, order overview, refund control, commission settings, audit logs</w:t>
            </w:r>
          </w:p>
        </w:tc>
        <w:tc>
          <w:tcPr>
            <w:tcW w:type="dxa" w:w="2808"/>
            <w:vAlign w:val="center"/>
          </w:tcPr>
          <w:p>
            <w:pPr>
              <w:spacing w:after="0"/>
            </w:pPr>
            <w:r/>
            <w:r>
              <w:rPr>
                <w:rFonts w:ascii="Calibri" w:hAnsi="Calibri"/>
                <w:b w:val="0"/>
                <w:color w:val="1F2933"/>
                <w:sz w:val="18"/>
              </w:rPr>
              <w:t>A/B tests, advanced fraud scoring, warehouse operations</w:t>
            </w:r>
          </w:p>
        </w:tc>
      </w:tr>
      <w:tr>
        <w:tc>
          <w:tcPr>
            <w:tcW w:type="dxa" w:w="1944"/>
            <w:vAlign w:val="center"/>
          </w:tcPr>
          <w:p>
            <w:pPr>
              <w:spacing w:after="0"/>
            </w:pPr>
            <w:r/>
            <w:r>
              <w:rPr>
                <w:rFonts w:ascii="Calibri" w:hAnsi="Calibri"/>
                <w:b w:val="0"/>
                <w:color w:val="1F2933"/>
                <w:sz w:val="18"/>
              </w:rPr>
              <w:t>Payments</w:t>
            </w:r>
          </w:p>
        </w:tc>
        <w:tc>
          <w:tcPr>
            <w:tcW w:type="dxa" w:w="4464"/>
            <w:vAlign w:val="center"/>
          </w:tcPr>
          <w:p>
            <w:pPr>
              <w:spacing w:after="0"/>
            </w:pPr>
            <w:r/>
            <w:r>
              <w:rPr>
                <w:rFonts w:ascii="Calibri" w:hAnsi="Calibri"/>
                <w:b w:val="0"/>
                <w:color w:val="1F2933"/>
                <w:sz w:val="18"/>
              </w:rPr>
              <w:t>QR Wallet merchant QR pay-now flow, business wallet collection, refunds, day-8 settlement</w:t>
            </w:r>
          </w:p>
        </w:tc>
        <w:tc>
          <w:tcPr>
            <w:tcW w:type="dxa" w:w="2808"/>
            <w:vAlign w:val="center"/>
          </w:tcPr>
          <w:p>
            <w:pPr>
              <w:spacing w:after="0"/>
            </w:pPr>
            <w:r/>
            <w:r>
              <w:rPr>
                <w:rFonts w:ascii="Calibri" w:hAnsi="Calibri"/>
                <w:b w:val="0"/>
                <w:color w:val="1F2933"/>
                <w:sz w:val="18"/>
              </w:rPr>
              <w:t>Deep link handoff, pay on delivery, non-wallet payment methods</w:t>
            </w:r>
          </w:p>
        </w:tc>
      </w:tr>
      <w:tr>
        <w:tc>
          <w:tcPr>
            <w:tcW w:type="dxa" w:w="1944"/>
            <w:vAlign w:val="center"/>
          </w:tcPr>
          <w:p>
            <w:pPr>
              <w:spacing w:after="0"/>
            </w:pPr>
            <w:r/>
            <w:r>
              <w:rPr>
                <w:rFonts w:ascii="Calibri" w:hAnsi="Calibri"/>
                <w:b w:val="0"/>
                <w:color w:val="1F2933"/>
                <w:sz w:val="18"/>
              </w:rPr>
              <w:t>Logistics</w:t>
            </w:r>
          </w:p>
        </w:tc>
        <w:tc>
          <w:tcPr>
            <w:tcW w:type="dxa" w:w="4464"/>
            <w:vAlign w:val="center"/>
          </w:tcPr>
          <w:p>
            <w:pPr>
              <w:spacing w:after="0"/>
            </w:pPr>
            <w:r/>
            <w:r>
              <w:rPr>
                <w:rFonts w:ascii="Calibri" w:hAnsi="Calibri"/>
                <w:b w:val="0"/>
                <w:color w:val="1F2933"/>
                <w:sz w:val="18"/>
              </w:rPr>
              <w:t>Basic delivery statuses and delivery fee model</w:t>
            </w:r>
          </w:p>
        </w:tc>
        <w:tc>
          <w:tcPr>
            <w:tcW w:type="dxa" w:w="2808"/>
            <w:vAlign w:val="center"/>
          </w:tcPr>
          <w:p>
            <w:pPr>
              <w:spacing w:after="0"/>
            </w:pPr>
            <w:r/>
            <w:r>
              <w:rPr>
                <w:rFonts w:ascii="Calibri" w:hAnsi="Calibri"/>
                <w:b w:val="0"/>
                <w:color w:val="1F2933"/>
                <w:sz w:val="18"/>
              </w:rPr>
              <w:t>Courier app, live GPS dispatch, warehouse inspection tooling</w:t>
            </w:r>
          </w:p>
        </w:tc>
      </w:tr>
    </w:tbl>
    <w:p/>
    <w:p>
      <w:pPr>
        <w:pStyle w:val="Heading1"/>
      </w:pPr>
      <w:r>
        <w:t>4. Platform Architecture</w:t>
      </w:r>
    </w:p>
    <w:p>
      <w:pPr>
        <w:pStyle w:val="BodyText"/>
      </w:pPr>
      <w:r>
        <w:t>The recommended architecture is a separate Shop Afrik app and Firebase backend integrated with QR Wallet through Cloud Functions. This keeps the wallet product stable while giving Shop Afrik freedom to evolve its marketplace data model, seller workflows, and admin controls.</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3024"/>
        <w:gridCol w:w="6120"/>
      </w:tblGrid>
      <w:tr>
        <w:trPr>
          <w:tblHeader w:val="true"/>
        </w:trPr>
        <w:tc>
          <w:tcPr>
            <w:tcW w:type="dxa" w:w="4680"/>
            <w:shd w:fill="063F3B"/>
            <w:vAlign w:val="center"/>
          </w:tcPr>
          <w:p>
            <w:pPr>
              <w:spacing w:after="0"/>
            </w:pPr>
            <w:r/>
            <w:r>
              <w:rPr>
                <w:rFonts w:ascii="Calibri" w:hAnsi="Calibri"/>
                <w:b/>
                <w:color w:val="FFFFFF"/>
                <w:sz w:val="19"/>
              </w:rPr>
              <w:t>Layer</w:t>
            </w:r>
          </w:p>
        </w:tc>
        <w:tc>
          <w:tcPr>
            <w:tcW w:type="dxa" w:w="4680"/>
            <w:shd w:fill="063F3B"/>
            <w:vAlign w:val="center"/>
          </w:tcPr>
          <w:p>
            <w:pPr>
              <w:spacing w:after="0"/>
            </w:pPr>
            <w:r/>
            <w:r>
              <w:rPr>
                <w:rFonts w:ascii="Calibri" w:hAnsi="Calibri"/>
                <w:b/>
                <w:color w:val="FFFFFF"/>
                <w:sz w:val="19"/>
              </w:rPr>
              <w:t>Responsibility</w:t>
            </w:r>
          </w:p>
        </w:tc>
      </w:tr>
      <w:tr>
        <w:tc>
          <w:tcPr>
            <w:tcW w:type="dxa" w:w="3024"/>
            <w:vAlign w:val="center"/>
          </w:tcPr>
          <w:p>
            <w:pPr>
              <w:spacing w:after="0"/>
            </w:pPr>
            <w:r/>
            <w:r>
              <w:rPr>
                <w:rFonts w:ascii="Calibri" w:hAnsi="Calibri"/>
                <w:b w:val="0"/>
                <w:color w:val="1F2933"/>
                <w:sz w:val="18"/>
              </w:rPr>
              <w:t>Shop Afrik Flutter app</w:t>
            </w:r>
          </w:p>
        </w:tc>
        <w:tc>
          <w:tcPr>
            <w:tcW w:type="dxa" w:w="6120"/>
            <w:vAlign w:val="center"/>
          </w:tcPr>
          <w:p>
            <w:pPr>
              <w:spacing w:after="0"/>
            </w:pPr>
            <w:r/>
            <w:r>
              <w:rPr>
                <w:rFonts w:ascii="Calibri" w:hAnsi="Calibri"/>
                <w:b w:val="0"/>
                <w:color w:val="1F2933"/>
                <w:sz w:val="18"/>
              </w:rPr>
              <w:t>Buyer, seller, and admin experiences. Mobile-first, with admin web support when needed.</w:t>
            </w:r>
          </w:p>
        </w:tc>
      </w:tr>
      <w:tr>
        <w:tc>
          <w:tcPr>
            <w:tcW w:type="dxa" w:w="3024"/>
            <w:vAlign w:val="center"/>
          </w:tcPr>
          <w:p>
            <w:pPr>
              <w:spacing w:after="0"/>
            </w:pPr>
            <w:r/>
            <w:r>
              <w:rPr>
                <w:rFonts w:ascii="Calibri" w:hAnsi="Calibri"/>
                <w:b w:val="0"/>
                <w:color w:val="1F2933"/>
                <w:sz w:val="18"/>
              </w:rPr>
              <w:t>Shop Afrik Firebase project</w:t>
            </w:r>
          </w:p>
        </w:tc>
        <w:tc>
          <w:tcPr>
            <w:tcW w:type="dxa" w:w="6120"/>
            <w:vAlign w:val="center"/>
          </w:tcPr>
          <w:p>
            <w:pPr>
              <w:spacing w:after="0"/>
            </w:pPr>
            <w:r/>
            <w:r>
              <w:rPr>
                <w:rFonts w:ascii="Calibri" w:hAnsi="Calibri"/>
                <w:b w:val="0"/>
                <w:color w:val="1F2933"/>
                <w:sz w:val="18"/>
              </w:rPr>
              <w:t>Products, categories, orders, buyers, sellers, reviews, refunds, notifications, audit logs, and settlement records.</w:t>
            </w:r>
          </w:p>
        </w:tc>
      </w:tr>
      <w:tr>
        <w:tc>
          <w:tcPr>
            <w:tcW w:type="dxa" w:w="3024"/>
            <w:vAlign w:val="center"/>
          </w:tcPr>
          <w:p>
            <w:pPr>
              <w:spacing w:after="0"/>
            </w:pPr>
            <w:r/>
            <w:r>
              <w:rPr>
                <w:rFonts w:ascii="Calibri" w:hAnsi="Calibri"/>
                <w:b w:val="0"/>
                <w:color w:val="1F2933"/>
                <w:sz w:val="18"/>
              </w:rPr>
              <w:t>Shop Afrik Cloud Functions</w:t>
            </w:r>
          </w:p>
        </w:tc>
        <w:tc>
          <w:tcPr>
            <w:tcW w:type="dxa" w:w="6120"/>
            <w:vAlign w:val="center"/>
          </w:tcPr>
          <w:p>
            <w:pPr>
              <w:spacing w:after="0"/>
            </w:pPr>
            <w:r/>
            <w:r>
              <w:rPr>
                <w:rFonts w:ascii="Calibri" w:hAnsi="Calibri"/>
                <w:b w:val="0"/>
                <w:color w:val="1F2933"/>
                <w:sz w:val="18"/>
              </w:rPr>
              <w:t>Order creation, QR payload generation, payment confirmation, settlement jobs, refund workflow, seller/admin permissions.</w:t>
            </w:r>
          </w:p>
        </w:tc>
      </w:tr>
      <w:tr>
        <w:tc>
          <w:tcPr>
            <w:tcW w:type="dxa" w:w="3024"/>
            <w:vAlign w:val="center"/>
          </w:tcPr>
          <w:p>
            <w:pPr>
              <w:spacing w:after="0"/>
            </w:pPr>
            <w:r/>
            <w:r>
              <w:rPr>
                <w:rFonts w:ascii="Calibri" w:hAnsi="Calibri"/>
                <w:b w:val="0"/>
                <w:color w:val="1F2933"/>
                <w:sz w:val="18"/>
              </w:rPr>
              <w:t>QR Wallet Firebase project</w:t>
            </w:r>
          </w:p>
        </w:tc>
        <w:tc>
          <w:tcPr>
            <w:tcW w:type="dxa" w:w="6120"/>
            <w:vAlign w:val="center"/>
          </w:tcPr>
          <w:p>
            <w:pPr>
              <w:spacing w:after="0"/>
            </w:pPr>
            <w:r/>
            <w:r>
              <w:rPr>
                <w:rFonts w:ascii="Calibri" w:hAnsi="Calibri"/>
                <w:b w:val="0"/>
                <w:color w:val="1F2933"/>
                <w:sz w:val="18"/>
              </w:rPr>
              <w:t>Business wallet, wallet balance, QR signing, sendMoney, refunds, holds, withdrawals, and existing KYC/wallet infrastructure.</w:t>
            </w:r>
          </w:p>
        </w:tc>
      </w:tr>
    </w:tbl>
    <w:p/>
    <w:tbl>
      <w:tblPr>
        <w:tblW w:type="auto" w:w="0"/>
        <w:jc w:val="center"/>
        <w:tblLayout w:type="fixed"/>
        <w:tblLook w:firstColumn="1" w:firstRow="1" w:lastColumn="0" w:lastRow="0" w:noHBand="0" w:noVBand="1" w:val="04A0"/>
        <w:tblBorders>
          <w:top w:val="single" w:sz="4" w:space="0" w:color="BDEDE7"/>
          <w:left w:val="single" w:sz="4" w:space="0" w:color="BDEDE7"/>
          <w:bottom w:val="single" w:sz="4" w:space="0" w:color="BDEDE7"/>
          <w:right w:val="single" w:sz="4" w:space="0" w:color="BDEDE7"/>
          <w:insideH w:val="single" w:sz="4" w:space="0" w:color="BDEDE7"/>
          <w:insideV w:val="single" w:sz="4" w:space="0" w:color="BDEDE7"/>
        </w:tblBorders>
      </w:tblPr>
      <w:tblGrid>
        <w:gridCol w:w="9216"/>
      </w:tblGrid>
      <w:tr>
        <w:tc>
          <w:tcPr>
            <w:tcW w:type="dxa" w:w="9360"/>
            <w:shd w:fill="F3FBFA"/>
          </w:tcPr>
          <w:p>
            <w:pPr>
              <w:spacing w:after="60"/>
            </w:pPr>
            <w:r>
              <w:rPr>
                <w:b/>
                <w:color w:val="063F3B"/>
                <w:sz w:val="22"/>
              </w:rPr>
              <w:t>Architecture Decision</w:t>
            </w:r>
          </w:p>
          <w:p>
            <w:pPr>
              <w:spacing w:after="0"/>
            </w:pPr>
            <w:r>
              <w:rPr>
                <w:color w:val="1F2933"/>
                <w:sz w:val="20"/>
              </w:rPr>
              <w:t>Use the QR Wallet business wallet pattern, not a QR Wallet tenant refactor. The existing planning documents identify this as lower risk because it reuses established QR Wallet functions while keeping new Shop Afrik logic additive.</w:t>
            </w:r>
          </w:p>
        </w:tc>
      </w:tr>
    </w:tbl>
    <w:p/>
    <w:p>
      <w:pPr>
        <w:pStyle w:val="Heading1"/>
      </w:pPr>
      <w:r>
        <w:t>5. QR Wallet Payment Flow</w:t>
      </w:r>
    </w:p>
    <w:p>
      <w:pPr>
        <w:pStyle w:val="ListNumber"/>
      </w:pPr>
      <w:r>
        <w:t>Buyer adds items to cart in Shop Afrik and starts checkout.</w:t>
      </w:r>
    </w:p>
    <w:p>
      <w:pPr>
        <w:pStyle w:val="ListNumber"/>
      </w:pPr>
      <w:r>
        <w:t>Shop Afrik calculates subtotal, payment fee, delivery fee, and total.</w:t>
      </w:r>
    </w:p>
    <w:p>
      <w:pPr>
        <w:pStyle w:val="ListNumber"/>
      </w:pPr>
      <w:r>
        <w:t>Shop Afrik calls QR Wallet's signed QR payload function for the Shop Afrik business wallet.</w:t>
      </w:r>
    </w:p>
    <w:p>
      <w:pPr>
        <w:pStyle w:val="ListNumber"/>
      </w:pPr>
      <w:r>
        <w:t>Buyer opens QR Wallet, scans the QR code, confirms payment, and enters PIN.</w:t>
      </w:r>
    </w:p>
    <w:p>
      <w:pPr>
        <w:pStyle w:val="ListNumber"/>
      </w:pPr>
      <w:r>
        <w:t>QR Wallet sendMoney debits the buyer and credits the Shop Afrik business wallet.</w:t>
      </w:r>
    </w:p>
    <w:p>
      <w:pPr>
        <w:pStyle w:val="ListNumber"/>
      </w:pPr>
      <w:r>
        <w:t>Shop Afrik detects the transaction, marks the order as paid, and begins fulfillment.</w:t>
      </w:r>
    </w:p>
    <w:p>
      <w:pPr>
        <w:pStyle w:val="ListNumber"/>
      </w:pPr>
      <w:r>
        <w:t>After delivery and the 7-day refund window, Shop Afrik settles the seller share to the seller's QR Wallet.</w:t>
      </w:r>
    </w:p>
    <w:p>
      <w:pPr>
        <w:pStyle w:val="Heading1"/>
      </w:pPr>
      <w:r>
        <w:t>6. Money, Refunds, and Settlement</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2448"/>
        <w:gridCol w:w="6768"/>
      </w:tblGrid>
      <w:tr>
        <w:trPr>
          <w:tblHeader w:val="true"/>
        </w:trPr>
        <w:tc>
          <w:tcPr>
            <w:tcW w:type="dxa" w:w="4680"/>
            <w:shd w:fill="063F3B"/>
            <w:vAlign w:val="center"/>
          </w:tcPr>
          <w:p>
            <w:pPr>
              <w:spacing w:after="0"/>
            </w:pPr>
            <w:r/>
            <w:r>
              <w:rPr>
                <w:rFonts w:ascii="Calibri" w:hAnsi="Calibri"/>
                <w:b/>
                <w:color w:val="FFFFFF"/>
                <w:sz w:val="19"/>
              </w:rPr>
              <w:t>Policy</w:t>
            </w:r>
          </w:p>
        </w:tc>
        <w:tc>
          <w:tcPr>
            <w:tcW w:type="dxa" w:w="4680"/>
            <w:shd w:fill="063F3B"/>
            <w:vAlign w:val="center"/>
          </w:tcPr>
          <w:p>
            <w:pPr>
              <w:spacing w:after="0"/>
            </w:pPr>
            <w:r/>
            <w:r>
              <w:rPr>
                <w:rFonts w:ascii="Calibri" w:hAnsi="Calibri"/>
                <w:b/>
                <w:color w:val="FFFFFF"/>
                <w:sz w:val="19"/>
              </w:rPr>
              <w:t>Recommendation</w:t>
            </w:r>
          </w:p>
        </w:tc>
      </w:tr>
      <w:tr>
        <w:tc>
          <w:tcPr>
            <w:tcW w:type="dxa" w:w="2448"/>
            <w:vAlign w:val="center"/>
          </w:tcPr>
          <w:p>
            <w:pPr>
              <w:spacing w:after="0"/>
            </w:pPr>
            <w:r/>
            <w:r>
              <w:rPr>
                <w:rFonts w:ascii="Calibri" w:hAnsi="Calibri"/>
                <w:b w:val="0"/>
                <w:color w:val="1F2933"/>
                <w:sz w:val="18"/>
              </w:rPr>
              <w:t>Commission</w:t>
            </w:r>
          </w:p>
        </w:tc>
        <w:tc>
          <w:tcPr>
            <w:tcW w:type="dxa" w:w="6768"/>
            <w:vAlign w:val="center"/>
          </w:tcPr>
          <w:p>
            <w:pPr>
              <w:spacing w:after="0"/>
            </w:pPr>
            <w:r/>
            <w:r>
              <w:rPr>
                <w:rFonts w:ascii="Calibri" w:hAnsi="Calibri"/>
                <w:b w:val="0"/>
                <w:color w:val="1F2933"/>
                <w:sz w:val="18"/>
              </w:rPr>
              <w:t>Start at 15 percent, configurable globally and later per category.</w:t>
            </w:r>
          </w:p>
        </w:tc>
      </w:tr>
      <w:tr>
        <w:tc>
          <w:tcPr>
            <w:tcW w:type="dxa" w:w="2448"/>
            <w:vAlign w:val="center"/>
          </w:tcPr>
          <w:p>
            <w:pPr>
              <w:spacing w:after="0"/>
            </w:pPr>
            <w:r/>
            <w:r>
              <w:rPr>
                <w:rFonts w:ascii="Calibri" w:hAnsi="Calibri"/>
                <w:b w:val="0"/>
                <w:color w:val="1F2933"/>
                <w:sz w:val="18"/>
              </w:rPr>
              <w:t>Payment fee</w:t>
            </w:r>
          </w:p>
        </w:tc>
        <w:tc>
          <w:tcPr>
            <w:tcW w:type="dxa" w:w="6768"/>
            <w:vAlign w:val="center"/>
          </w:tcPr>
          <w:p>
            <w:pPr>
              <w:spacing w:after="0"/>
            </w:pPr>
            <w:r/>
            <w:r>
              <w:rPr>
                <w:rFonts w:ascii="Calibri" w:hAnsi="Calibri"/>
                <w:b w:val="0"/>
                <w:color w:val="1F2933"/>
                <w:sz w:val="18"/>
              </w:rPr>
              <w:t>Buyer pays payment processing fee as a separate checkout line item.</w:t>
            </w:r>
          </w:p>
        </w:tc>
      </w:tr>
      <w:tr>
        <w:tc>
          <w:tcPr>
            <w:tcW w:type="dxa" w:w="2448"/>
            <w:vAlign w:val="center"/>
          </w:tcPr>
          <w:p>
            <w:pPr>
              <w:spacing w:after="0"/>
            </w:pPr>
            <w:r/>
            <w:r>
              <w:rPr>
                <w:rFonts w:ascii="Calibri" w:hAnsi="Calibri"/>
                <w:b w:val="0"/>
                <w:color w:val="1F2933"/>
                <w:sz w:val="18"/>
              </w:rPr>
              <w:t>Refund window</w:t>
            </w:r>
          </w:p>
        </w:tc>
        <w:tc>
          <w:tcPr>
            <w:tcW w:type="dxa" w:w="6768"/>
            <w:vAlign w:val="center"/>
          </w:tcPr>
          <w:p>
            <w:pPr>
              <w:spacing w:after="0"/>
            </w:pPr>
            <w:r/>
            <w:r>
              <w:rPr>
                <w:rFonts w:ascii="Calibri" w:hAnsi="Calibri"/>
                <w:b w:val="0"/>
                <w:color w:val="1F2933"/>
                <w:sz w:val="18"/>
              </w:rPr>
              <w:t>7 days from courier-confirmed delivery.</w:t>
            </w:r>
          </w:p>
        </w:tc>
      </w:tr>
      <w:tr>
        <w:tc>
          <w:tcPr>
            <w:tcW w:type="dxa" w:w="2448"/>
            <w:vAlign w:val="center"/>
          </w:tcPr>
          <w:p>
            <w:pPr>
              <w:spacing w:after="0"/>
            </w:pPr>
            <w:r/>
            <w:r>
              <w:rPr>
                <w:rFonts w:ascii="Calibri" w:hAnsi="Calibri"/>
                <w:b w:val="0"/>
                <w:color w:val="1F2933"/>
                <w:sz w:val="18"/>
              </w:rPr>
              <w:t>Partial refunds</w:t>
            </w:r>
          </w:p>
        </w:tc>
        <w:tc>
          <w:tcPr>
            <w:tcW w:type="dxa" w:w="6768"/>
            <w:vAlign w:val="center"/>
          </w:tcPr>
          <w:p>
            <w:pPr>
              <w:spacing w:after="0"/>
            </w:pPr>
            <w:r/>
            <w:r>
              <w:rPr>
                <w:rFonts w:ascii="Calibri" w:hAnsi="Calibri"/>
                <w:b w:val="0"/>
                <w:color w:val="1F2933"/>
                <w:sz w:val="18"/>
              </w:rPr>
              <w:t>Allowed for multi-item orders; single-item orders are full refund or no refund.</w:t>
            </w:r>
          </w:p>
        </w:tc>
      </w:tr>
      <w:tr>
        <w:tc>
          <w:tcPr>
            <w:tcW w:type="dxa" w:w="2448"/>
            <w:vAlign w:val="center"/>
          </w:tcPr>
          <w:p>
            <w:pPr>
              <w:spacing w:after="0"/>
            </w:pPr>
            <w:r/>
            <w:r>
              <w:rPr>
                <w:rFonts w:ascii="Calibri" w:hAnsi="Calibri"/>
                <w:b w:val="0"/>
                <w:color w:val="1F2933"/>
                <w:sz w:val="18"/>
              </w:rPr>
              <w:t>Settlement</w:t>
            </w:r>
          </w:p>
        </w:tc>
        <w:tc>
          <w:tcPr>
            <w:tcW w:type="dxa" w:w="6768"/>
            <w:vAlign w:val="center"/>
          </w:tcPr>
          <w:p>
            <w:pPr>
              <w:spacing w:after="0"/>
            </w:pPr>
            <w:r/>
            <w:r>
              <w:rPr>
                <w:rFonts w:ascii="Calibri" w:hAnsi="Calibri"/>
                <w:b w:val="0"/>
                <w:color w:val="1F2933"/>
                <w:sz w:val="18"/>
              </w:rPr>
              <w:t>Day 8 auto-settlement to seller QR Wallet after refund window closes.</w:t>
            </w:r>
          </w:p>
        </w:tc>
      </w:tr>
      <w:tr>
        <w:tc>
          <w:tcPr>
            <w:tcW w:type="dxa" w:w="2448"/>
            <w:vAlign w:val="center"/>
          </w:tcPr>
          <w:p>
            <w:pPr>
              <w:spacing w:after="0"/>
            </w:pPr>
            <w:r/>
            <w:r>
              <w:rPr>
                <w:rFonts w:ascii="Calibri" w:hAnsi="Calibri"/>
                <w:b w:val="0"/>
                <w:color w:val="1F2933"/>
                <w:sz w:val="18"/>
              </w:rPr>
              <w:t>Seller KYC</w:t>
            </w:r>
          </w:p>
        </w:tc>
        <w:tc>
          <w:tcPr>
            <w:tcW w:type="dxa" w:w="6768"/>
            <w:vAlign w:val="center"/>
          </w:tcPr>
          <w:p>
            <w:pPr>
              <w:spacing w:after="0"/>
            </w:pPr>
            <w:r/>
            <w:r>
              <w:rPr>
                <w:rFonts w:ascii="Calibri" w:hAnsi="Calibri"/>
                <w:b w:val="0"/>
                <w:color w:val="1F2933"/>
                <w:sz w:val="18"/>
              </w:rPr>
              <w:t>Required through QR Wallet before seller approval.</w:t>
            </w:r>
          </w:p>
        </w:tc>
      </w:tr>
      <w:tr>
        <w:tc>
          <w:tcPr>
            <w:tcW w:type="dxa" w:w="2448"/>
            <w:vAlign w:val="center"/>
          </w:tcPr>
          <w:p>
            <w:pPr>
              <w:spacing w:after="0"/>
            </w:pPr>
            <w:r/>
            <w:r>
              <w:rPr>
                <w:rFonts w:ascii="Calibri" w:hAnsi="Calibri"/>
                <w:b w:val="0"/>
                <w:color w:val="1F2933"/>
                <w:sz w:val="18"/>
              </w:rPr>
              <w:t>Admin escalation</w:t>
            </w:r>
          </w:p>
        </w:tc>
        <w:tc>
          <w:tcPr>
            <w:tcW w:type="dxa" w:w="6768"/>
            <w:vAlign w:val="center"/>
          </w:tcPr>
          <w:p>
            <w:pPr>
              <w:spacing w:after="0"/>
            </w:pPr>
            <w:r/>
            <w:r>
              <w:rPr>
                <w:rFonts w:ascii="Calibri" w:hAnsi="Calibri"/>
                <w:b w:val="0"/>
                <w:color w:val="1F2933"/>
                <w:sz w:val="18"/>
              </w:rPr>
              <w:t>Use tiered refund approval based on refund amount and admin role.</w:t>
            </w:r>
          </w:p>
        </w:tc>
      </w:tr>
    </w:tbl>
    <w:p/>
    <w:p>
      <w:pPr>
        <w:pStyle w:val="Heading1"/>
      </w:pPr>
      <w:r>
        <w:t>7. Core Data Model</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2520"/>
        <w:gridCol w:w="6696"/>
      </w:tblGrid>
      <w:tr>
        <w:trPr>
          <w:tblHeader w:val="true"/>
        </w:trPr>
        <w:tc>
          <w:tcPr>
            <w:tcW w:type="dxa" w:w="4680"/>
            <w:shd w:fill="063F3B"/>
            <w:vAlign w:val="center"/>
          </w:tcPr>
          <w:p>
            <w:pPr>
              <w:spacing w:after="0"/>
            </w:pPr>
            <w:r/>
            <w:r>
              <w:rPr>
                <w:rFonts w:ascii="Calibri" w:hAnsi="Calibri"/>
                <w:b/>
                <w:color w:val="FFFFFF"/>
                <w:sz w:val="19"/>
              </w:rPr>
              <w:t>Collection</w:t>
            </w:r>
          </w:p>
        </w:tc>
        <w:tc>
          <w:tcPr>
            <w:tcW w:type="dxa" w:w="4680"/>
            <w:shd w:fill="063F3B"/>
            <w:vAlign w:val="center"/>
          </w:tcPr>
          <w:p>
            <w:pPr>
              <w:spacing w:after="0"/>
            </w:pPr>
            <w:r/>
            <w:r>
              <w:rPr>
                <w:rFonts w:ascii="Calibri" w:hAnsi="Calibri"/>
                <w:b/>
                <w:color w:val="FFFFFF"/>
                <w:sz w:val="19"/>
              </w:rPr>
              <w:t>Purpose</w:t>
            </w:r>
          </w:p>
        </w:tc>
      </w:tr>
      <w:tr>
        <w:tc>
          <w:tcPr>
            <w:tcW w:type="dxa" w:w="2520"/>
            <w:vAlign w:val="center"/>
          </w:tcPr>
          <w:p>
            <w:pPr>
              <w:spacing w:after="0"/>
            </w:pPr>
            <w:r/>
            <w:r>
              <w:rPr>
                <w:rFonts w:ascii="Calibri" w:hAnsi="Calibri"/>
                <w:b w:val="0"/>
                <w:color w:val="1F2933"/>
                <w:sz w:val="18"/>
              </w:rPr>
              <w:t>products</w:t>
            </w:r>
          </w:p>
        </w:tc>
        <w:tc>
          <w:tcPr>
            <w:tcW w:type="dxa" w:w="6696"/>
            <w:vAlign w:val="center"/>
          </w:tcPr>
          <w:p>
            <w:pPr>
              <w:spacing w:after="0"/>
            </w:pPr>
            <w:r/>
            <w:r>
              <w:rPr>
                <w:rFonts w:ascii="Calibri" w:hAnsi="Calibri"/>
                <w:b w:val="0"/>
                <w:color w:val="1F2933"/>
                <w:sz w:val="18"/>
              </w:rPr>
              <w:t>Catalog records with seller, price, images, stock, category, and approval status.</w:t>
            </w:r>
          </w:p>
        </w:tc>
      </w:tr>
      <w:tr>
        <w:tc>
          <w:tcPr>
            <w:tcW w:type="dxa" w:w="2520"/>
            <w:vAlign w:val="center"/>
          </w:tcPr>
          <w:p>
            <w:pPr>
              <w:spacing w:after="0"/>
            </w:pPr>
            <w:r/>
            <w:r>
              <w:rPr>
                <w:rFonts w:ascii="Calibri" w:hAnsi="Calibri"/>
                <w:b w:val="0"/>
                <w:color w:val="1F2933"/>
                <w:sz w:val="18"/>
              </w:rPr>
              <w:t>categories</w:t>
            </w:r>
          </w:p>
        </w:tc>
        <w:tc>
          <w:tcPr>
            <w:tcW w:type="dxa" w:w="6696"/>
            <w:vAlign w:val="center"/>
          </w:tcPr>
          <w:p>
            <w:pPr>
              <w:spacing w:after="0"/>
            </w:pPr>
            <w:r/>
            <w:r>
              <w:rPr>
                <w:rFonts w:ascii="Calibri" w:hAnsi="Calibri"/>
                <w:b w:val="0"/>
                <w:color w:val="1F2933"/>
                <w:sz w:val="18"/>
              </w:rPr>
              <w:t>Category tree for browse, filters, and admin management.</w:t>
            </w:r>
          </w:p>
        </w:tc>
      </w:tr>
      <w:tr>
        <w:tc>
          <w:tcPr>
            <w:tcW w:type="dxa" w:w="2520"/>
            <w:vAlign w:val="center"/>
          </w:tcPr>
          <w:p>
            <w:pPr>
              <w:spacing w:after="0"/>
            </w:pPr>
            <w:r/>
            <w:r>
              <w:rPr>
                <w:rFonts w:ascii="Calibri" w:hAnsi="Calibri"/>
                <w:b w:val="0"/>
                <w:color w:val="1F2933"/>
                <w:sz w:val="18"/>
              </w:rPr>
              <w:t>orders</w:t>
            </w:r>
          </w:p>
        </w:tc>
        <w:tc>
          <w:tcPr>
            <w:tcW w:type="dxa" w:w="6696"/>
            <w:vAlign w:val="center"/>
          </w:tcPr>
          <w:p>
            <w:pPr>
              <w:spacing w:after="0"/>
            </w:pPr>
            <w:r/>
            <w:r>
              <w:rPr>
                <w:rFonts w:ascii="Calibri" w:hAnsi="Calibri"/>
                <w:b w:val="0"/>
                <w:color w:val="1F2933"/>
                <w:sz w:val="18"/>
              </w:rPr>
              <w:t>Buyer order totals, payment status, delivery status, timestamps, and settlement status.</w:t>
            </w:r>
          </w:p>
        </w:tc>
      </w:tr>
      <w:tr>
        <w:tc>
          <w:tcPr>
            <w:tcW w:type="dxa" w:w="2520"/>
            <w:vAlign w:val="center"/>
          </w:tcPr>
          <w:p>
            <w:pPr>
              <w:spacing w:after="0"/>
            </w:pPr>
            <w:r/>
            <w:r>
              <w:rPr>
                <w:rFonts w:ascii="Calibri" w:hAnsi="Calibri"/>
                <w:b w:val="0"/>
                <w:color w:val="1F2933"/>
                <w:sz w:val="18"/>
              </w:rPr>
              <w:t>sellers</w:t>
            </w:r>
          </w:p>
        </w:tc>
        <w:tc>
          <w:tcPr>
            <w:tcW w:type="dxa" w:w="6696"/>
            <w:vAlign w:val="center"/>
          </w:tcPr>
          <w:p>
            <w:pPr>
              <w:spacing w:after="0"/>
            </w:pPr>
            <w:r/>
            <w:r>
              <w:rPr>
                <w:rFonts w:ascii="Calibri" w:hAnsi="Calibri"/>
                <w:b w:val="0"/>
                <w:color w:val="1F2933"/>
                <w:sz w:val="18"/>
              </w:rPr>
              <w:t>Store profile, QR Wallet link, KYC status, rating, approval status, and payout settings.</w:t>
            </w:r>
          </w:p>
        </w:tc>
      </w:tr>
      <w:tr>
        <w:tc>
          <w:tcPr>
            <w:tcW w:type="dxa" w:w="2520"/>
            <w:vAlign w:val="center"/>
          </w:tcPr>
          <w:p>
            <w:pPr>
              <w:spacing w:after="0"/>
            </w:pPr>
            <w:r/>
            <w:r>
              <w:rPr>
                <w:rFonts w:ascii="Calibri" w:hAnsi="Calibri"/>
                <w:b w:val="0"/>
                <w:color w:val="1F2933"/>
                <w:sz w:val="18"/>
              </w:rPr>
              <w:t>buyers</w:t>
            </w:r>
          </w:p>
        </w:tc>
        <w:tc>
          <w:tcPr>
            <w:tcW w:type="dxa" w:w="6696"/>
            <w:vAlign w:val="center"/>
          </w:tcPr>
          <w:p>
            <w:pPr>
              <w:spacing w:after="0"/>
            </w:pPr>
            <w:r/>
            <w:r>
              <w:rPr>
                <w:rFonts w:ascii="Calibri" w:hAnsi="Calibri"/>
                <w:b w:val="0"/>
                <w:color w:val="1F2933"/>
                <w:sz w:val="18"/>
              </w:rPr>
              <w:t>Customer profile, addresses, wishlist, and notification preferences.</w:t>
            </w:r>
          </w:p>
        </w:tc>
      </w:tr>
      <w:tr>
        <w:tc>
          <w:tcPr>
            <w:tcW w:type="dxa" w:w="2520"/>
            <w:vAlign w:val="center"/>
          </w:tcPr>
          <w:p>
            <w:pPr>
              <w:spacing w:after="0"/>
            </w:pPr>
            <w:r/>
            <w:r>
              <w:rPr>
                <w:rFonts w:ascii="Calibri" w:hAnsi="Calibri"/>
                <w:b w:val="0"/>
                <w:color w:val="1F2933"/>
                <w:sz w:val="18"/>
              </w:rPr>
              <w:t>reviews</w:t>
            </w:r>
          </w:p>
        </w:tc>
        <w:tc>
          <w:tcPr>
            <w:tcW w:type="dxa" w:w="6696"/>
            <w:vAlign w:val="center"/>
          </w:tcPr>
          <w:p>
            <w:pPr>
              <w:spacing w:after="0"/>
            </w:pPr>
            <w:r/>
            <w:r>
              <w:rPr>
                <w:rFonts w:ascii="Calibri" w:hAnsi="Calibri"/>
                <w:b w:val="0"/>
                <w:color w:val="1F2933"/>
                <w:sz w:val="18"/>
              </w:rPr>
              <w:t>Verified-buyer product reviews and ratings.</w:t>
            </w:r>
          </w:p>
        </w:tc>
      </w:tr>
      <w:tr>
        <w:tc>
          <w:tcPr>
            <w:tcW w:type="dxa" w:w="2520"/>
            <w:vAlign w:val="center"/>
          </w:tcPr>
          <w:p>
            <w:pPr>
              <w:spacing w:after="0"/>
            </w:pPr>
            <w:r/>
            <w:r>
              <w:rPr>
                <w:rFonts w:ascii="Calibri" w:hAnsi="Calibri"/>
                <w:b w:val="0"/>
                <w:color w:val="1F2933"/>
                <w:sz w:val="18"/>
              </w:rPr>
              <w:t>refund_requests</w:t>
            </w:r>
          </w:p>
        </w:tc>
        <w:tc>
          <w:tcPr>
            <w:tcW w:type="dxa" w:w="6696"/>
            <w:vAlign w:val="center"/>
          </w:tcPr>
          <w:p>
            <w:pPr>
              <w:spacing w:after="0"/>
            </w:pPr>
            <w:r/>
            <w:r>
              <w:rPr>
                <w:rFonts w:ascii="Calibri" w:hAnsi="Calibri"/>
                <w:b w:val="0"/>
                <w:color w:val="1F2933"/>
                <w:sz w:val="18"/>
              </w:rPr>
              <w:t>Buyer refund requests, evidence, inspection result, admin decisions, and escalation state.</w:t>
            </w:r>
          </w:p>
        </w:tc>
      </w:tr>
      <w:tr>
        <w:tc>
          <w:tcPr>
            <w:tcW w:type="dxa" w:w="2520"/>
            <w:vAlign w:val="center"/>
          </w:tcPr>
          <w:p>
            <w:pPr>
              <w:spacing w:after="0"/>
            </w:pPr>
            <w:r/>
            <w:r>
              <w:rPr>
                <w:rFonts w:ascii="Calibri" w:hAnsi="Calibri"/>
                <w:b w:val="0"/>
                <w:color w:val="1F2933"/>
                <w:sz w:val="18"/>
              </w:rPr>
              <w:t>settlements</w:t>
            </w:r>
          </w:p>
        </w:tc>
        <w:tc>
          <w:tcPr>
            <w:tcW w:type="dxa" w:w="6696"/>
            <w:vAlign w:val="center"/>
          </w:tcPr>
          <w:p>
            <w:pPr>
              <w:spacing w:after="0"/>
            </w:pPr>
            <w:r/>
            <w:r>
              <w:rPr>
                <w:rFonts w:ascii="Calibri" w:hAnsi="Calibri"/>
                <w:b w:val="0"/>
                <w:color w:val="1F2933"/>
                <w:sz w:val="18"/>
              </w:rPr>
              <w:t>Day-8 payout records from Shop Afrik to sellers.</w:t>
            </w:r>
          </w:p>
        </w:tc>
      </w:tr>
      <w:tr>
        <w:tc>
          <w:tcPr>
            <w:tcW w:type="dxa" w:w="2520"/>
            <w:vAlign w:val="center"/>
          </w:tcPr>
          <w:p>
            <w:pPr>
              <w:spacing w:after="0"/>
            </w:pPr>
            <w:r/>
            <w:r>
              <w:rPr>
                <w:rFonts w:ascii="Calibri" w:hAnsi="Calibri"/>
                <w:b w:val="0"/>
                <w:color w:val="1F2933"/>
                <w:sz w:val="18"/>
              </w:rPr>
              <w:t>notifications</w:t>
            </w:r>
          </w:p>
        </w:tc>
        <w:tc>
          <w:tcPr>
            <w:tcW w:type="dxa" w:w="6696"/>
            <w:vAlign w:val="center"/>
          </w:tcPr>
          <w:p>
            <w:pPr>
              <w:spacing w:after="0"/>
            </w:pPr>
            <w:r/>
            <w:r>
              <w:rPr>
                <w:rFonts w:ascii="Calibri" w:hAnsi="Calibri"/>
                <w:b w:val="0"/>
                <w:color w:val="1F2933"/>
                <w:sz w:val="18"/>
              </w:rPr>
              <w:t>In-app notification history for buyers, sellers, and admins.</w:t>
            </w:r>
          </w:p>
        </w:tc>
      </w:tr>
      <w:tr>
        <w:tc>
          <w:tcPr>
            <w:tcW w:type="dxa" w:w="2520"/>
            <w:vAlign w:val="center"/>
          </w:tcPr>
          <w:p>
            <w:pPr>
              <w:spacing w:after="0"/>
            </w:pPr>
            <w:r/>
            <w:r>
              <w:rPr>
                <w:rFonts w:ascii="Calibri" w:hAnsi="Calibri"/>
                <w:b w:val="0"/>
                <w:color w:val="1F2933"/>
                <w:sz w:val="18"/>
              </w:rPr>
              <w:t>admin_audit</w:t>
            </w:r>
          </w:p>
        </w:tc>
        <w:tc>
          <w:tcPr>
            <w:tcW w:type="dxa" w:w="6696"/>
            <w:vAlign w:val="center"/>
          </w:tcPr>
          <w:p>
            <w:pPr>
              <w:spacing w:after="0"/>
            </w:pPr>
            <w:r/>
            <w:r>
              <w:rPr>
                <w:rFonts w:ascii="Calibri" w:hAnsi="Calibri"/>
                <w:b w:val="0"/>
                <w:color w:val="1F2933"/>
                <w:sz w:val="18"/>
              </w:rPr>
              <w:t>Append-only audit trail for admin and financial actions.</w:t>
            </w:r>
          </w:p>
        </w:tc>
      </w:tr>
    </w:tbl>
    <w:p/>
    <w:p>
      <w:pPr>
        <w:pStyle w:val="Heading1"/>
      </w:pPr>
      <w:r>
        <w:t>8. Visual Direction</w:t>
      </w:r>
    </w:p>
    <w:p>
      <w:pPr>
        <w:pStyle w:val="BodyText"/>
      </w:pPr>
      <w:r>
        <w:t>The visual reference points toward a premium dark mobile interface with teal action states, soft aqua highlights, and coral danger states. Shop Afrik should borrow the trust and polish of fintech UI, then add stronger product imagery for the shopping experience.</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2232"/>
        <w:gridCol w:w="1656"/>
        <w:gridCol w:w="5328"/>
      </w:tblGrid>
      <w:tr>
        <w:trPr>
          <w:tblHeader w:val="true"/>
        </w:trPr>
        <w:tc>
          <w:tcPr>
            <w:tcW w:type="dxa" w:w="3120"/>
            <w:shd w:fill="063F3B"/>
            <w:vAlign w:val="center"/>
          </w:tcPr>
          <w:p>
            <w:pPr>
              <w:spacing w:after="0"/>
            </w:pPr>
            <w:r/>
            <w:r>
              <w:rPr>
                <w:rFonts w:ascii="Calibri" w:hAnsi="Calibri"/>
                <w:b/>
                <w:color w:val="FFFFFF"/>
                <w:sz w:val="19"/>
              </w:rPr>
              <w:t>Token</w:t>
            </w:r>
          </w:p>
        </w:tc>
        <w:tc>
          <w:tcPr>
            <w:tcW w:type="dxa" w:w="3120"/>
            <w:shd w:fill="063F3B"/>
            <w:vAlign w:val="center"/>
          </w:tcPr>
          <w:p>
            <w:pPr>
              <w:spacing w:after="0"/>
            </w:pPr>
            <w:r/>
            <w:r>
              <w:rPr>
                <w:rFonts w:ascii="Calibri" w:hAnsi="Calibri"/>
                <w:b/>
                <w:color w:val="FFFFFF"/>
                <w:sz w:val="19"/>
              </w:rPr>
              <w:t>Hex</w:t>
            </w:r>
          </w:p>
        </w:tc>
        <w:tc>
          <w:tcPr>
            <w:tcW w:type="dxa" w:w="3120"/>
            <w:shd w:fill="063F3B"/>
            <w:vAlign w:val="center"/>
          </w:tcPr>
          <w:p>
            <w:pPr>
              <w:spacing w:after="0"/>
            </w:pPr>
            <w:r/>
            <w:r>
              <w:rPr>
                <w:rFonts w:ascii="Calibri" w:hAnsi="Calibri"/>
                <w:b/>
                <w:color w:val="FFFFFF"/>
                <w:sz w:val="19"/>
              </w:rPr>
              <w:t>Usage</w:t>
            </w:r>
          </w:p>
        </w:tc>
      </w:tr>
      <w:tr>
        <w:tc>
          <w:tcPr>
            <w:tcW w:type="dxa" w:w="2232"/>
            <w:vAlign w:val="center"/>
          </w:tcPr>
          <w:p>
            <w:pPr>
              <w:spacing w:after="0"/>
            </w:pPr>
            <w:r/>
            <w:r>
              <w:rPr>
                <w:rFonts w:ascii="Calibri" w:hAnsi="Calibri"/>
                <w:b w:val="0"/>
                <w:color w:val="1F2933"/>
                <w:sz w:val="18"/>
              </w:rPr>
              <w:t>Primary dark</w:t>
            </w:r>
          </w:p>
        </w:tc>
        <w:tc>
          <w:tcPr>
            <w:tcW w:type="dxa" w:w="1656"/>
            <w:vAlign w:val="center"/>
          </w:tcPr>
          <w:p>
            <w:pPr>
              <w:spacing w:after="0"/>
            </w:pPr>
            <w:r/>
            <w:r>
              <w:rPr>
                <w:rFonts w:ascii="Calibri" w:hAnsi="Calibri"/>
                <w:b w:val="0"/>
                <w:color w:val="1F2933"/>
                <w:sz w:val="18"/>
              </w:rPr>
              <w:t>#101418</w:t>
            </w:r>
          </w:p>
        </w:tc>
        <w:tc>
          <w:tcPr>
            <w:tcW w:type="dxa" w:w="5328"/>
            <w:vAlign w:val="center"/>
          </w:tcPr>
          <w:p>
            <w:pPr>
              <w:spacing w:after="0"/>
            </w:pPr>
            <w:r/>
            <w:r>
              <w:rPr>
                <w:rFonts w:ascii="Calibri" w:hAnsi="Calibri"/>
                <w:b w:val="0"/>
                <w:color w:val="1F2933"/>
                <w:sz w:val="18"/>
              </w:rPr>
              <w:t>App background, high-trust surfaces</w:t>
            </w:r>
          </w:p>
        </w:tc>
      </w:tr>
      <w:tr>
        <w:tc>
          <w:tcPr>
            <w:tcW w:type="dxa" w:w="2232"/>
            <w:vAlign w:val="center"/>
          </w:tcPr>
          <w:p>
            <w:pPr>
              <w:spacing w:after="0"/>
            </w:pPr>
            <w:r/>
            <w:r>
              <w:rPr>
                <w:rFonts w:ascii="Calibri" w:hAnsi="Calibri"/>
                <w:b w:val="0"/>
                <w:color w:val="1F2933"/>
                <w:sz w:val="18"/>
              </w:rPr>
              <w:t>Panel dark</w:t>
            </w:r>
          </w:p>
        </w:tc>
        <w:tc>
          <w:tcPr>
            <w:tcW w:type="dxa" w:w="1656"/>
            <w:vAlign w:val="center"/>
          </w:tcPr>
          <w:p>
            <w:pPr>
              <w:spacing w:after="0"/>
            </w:pPr>
            <w:r/>
            <w:r>
              <w:rPr>
                <w:rFonts w:ascii="Calibri" w:hAnsi="Calibri"/>
                <w:b w:val="0"/>
                <w:color w:val="1F2933"/>
                <w:sz w:val="18"/>
              </w:rPr>
              <w:t>#171D24</w:t>
            </w:r>
          </w:p>
        </w:tc>
        <w:tc>
          <w:tcPr>
            <w:tcW w:type="dxa" w:w="5328"/>
            <w:vAlign w:val="center"/>
          </w:tcPr>
          <w:p>
            <w:pPr>
              <w:spacing w:after="0"/>
            </w:pPr>
            <w:r/>
            <w:r>
              <w:rPr>
                <w:rFonts w:ascii="Calibri" w:hAnsi="Calibri"/>
                <w:b w:val="0"/>
                <w:color w:val="1F2933"/>
                <w:sz w:val="18"/>
              </w:rPr>
              <w:t>Cards, forms, product panels, bottom sheets</w:t>
            </w:r>
          </w:p>
        </w:tc>
      </w:tr>
      <w:tr>
        <w:tc>
          <w:tcPr>
            <w:tcW w:type="dxa" w:w="2232"/>
            <w:vAlign w:val="center"/>
          </w:tcPr>
          <w:p>
            <w:pPr>
              <w:spacing w:after="0"/>
            </w:pPr>
            <w:r/>
            <w:r>
              <w:rPr>
                <w:rFonts w:ascii="Calibri" w:hAnsi="Calibri"/>
                <w:b w:val="0"/>
                <w:color w:val="1F2933"/>
                <w:sz w:val="18"/>
              </w:rPr>
              <w:t>Deep teal</w:t>
            </w:r>
          </w:p>
        </w:tc>
        <w:tc>
          <w:tcPr>
            <w:tcW w:type="dxa" w:w="1656"/>
            <w:vAlign w:val="center"/>
          </w:tcPr>
          <w:p>
            <w:pPr>
              <w:spacing w:after="0"/>
            </w:pPr>
            <w:r/>
            <w:r>
              <w:rPr>
                <w:rFonts w:ascii="Calibri" w:hAnsi="Calibri"/>
                <w:b w:val="0"/>
                <w:color w:val="1F2933"/>
                <w:sz w:val="18"/>
              </w:rPr>
              <w:t>#063F3B</w:t>
            </w:r>
          </w:p>
        </w:tc>
        <w:tc>
          <w:tcPr>
            <w:tcW w:type="dxa" w:w="5328"/>
            <w:vAlign w:val="center"/>
          </w:tcPr>
          <w:p>
            <w:pPr>
              <w:spacing w:after="0"/>
            </w:pPr>
            <w:r/>
            <w:r>
              <w:rPr>
                <w:rFonts w:ascii="Calibri" w:hAnsi="Calibri"/>
                <w:b w:val="0"/>
                <w:color w:val="1F2933"/>
                <w:sz w:val="18"/>
              </w:rPr>
              <w:t>Brand anchor, headers, dark accents</w:t>
            </w:r>
          </w:p>
        </w:tc>
      </w:tr>
      <w:tr>
        <w:tc>
          <w:tcPr>
            <w:tcW w:type="dxa" w:w="2232"/>
            <w:vAlign w:val="center"/>
          </w:tcPr>
          <w:p>
            <w:pPr>
              <w:spacing w:after="0"/>
            </w:pPr>
            <w:r/>
            <w:r>
              <w:rPr>
                <w:rFonts w:ascii="Calibri" w:hAnsi="Calibri"/>
                <w:b w:val="0"/>
                <w:color w:val="1F2933"/>
                <w:sz w:val="18"/>
              </w:rPr>
              <w:t>Primary teal</w:t>
            </w:r>
          </w:p>
        </w:tc>
        <w:tc>
          <w:tcPr>
            <w:tcW w:type="dxa" w:w="1656"/>
            <w:vAlign w:val="center"/>
          </w:tcPr>
          <w:p>
            <w:pPr>
              <w:spacing w:after="0"/>
            </w:pPr>
            <w:r/>
            <w:r>
              <w:rPr>
                <w:rFonts w:ascii="Calibri" w:hAnsi="Calibri"/>
                <w:b w:val="0"/>
                <w:color w:val="1F2933"/>
                <w:sz w:val="18"/>
              </w:rPr>
              <w:t>#0BA99D</w:t>
            </w:r>
          </w:p>
        </w:tc>
        <w:tc>
          <w:tcPr>
            <w:tcW w:type="dxa" w:w="5328"/>
            <w:vAlign w:val="center"/>
          </w:tcPr>
          <w:p>
            <w:pPr>
              <w:spacing w:after="0"/>
            </w:pPr>
            <w:r/>
            <w:r>
              <w:rPr>
                <w:rFonts w:ascii="Calibri" w:hAnsi="Calibri"/>
                <w:b w:val="0"/>
                <w:color w:val="1F2933"/>
                <w:sz w:val="18"/>
              </w:rPr>
              <w:t>Main buttons, active tabs, payment confirmation</w:t>
            </w:r>
          </w:p>
        </w:tc>
      </w:tr>
      <w:tr>
        <w:tc>
          <w:tcPr>
            <w:tcW w:type="dxa" w:w="2232"/>
            <w:vAlign w:val="center"/>
          </w:tcPr>
          <w:p>
            <w:pPr>
              <w:spacing w:after="0"/>
            </w:pPr>
            <w:r/>
            <w:r>
              <w:rPr>
                <w:rFonts w:ascii="Calibri" w:hAnsi="Calibri"/>
                <w:b w:val="0"/>
                <w:color w:val="1F2933"/>
                <w:sz w:val="18"/>
              </w:rPr>
              <w:t>Bright aqua</w:t>
            </w:r>
          </w:p>
        </w:tc>
        <w:tc>
          <w:tcPr>
            <w:tcW w:type="dxa" w:w="1656"/>
            <w:vAlign w:val="center"/>
          </w:tcPr>
          <w:p>
            <w:pPr>
              <w:spacing w:after="0"/>
            </w:pPr>
            <w:r/>
            <w:r>
              <w:rPr>
                <w:rFonts w:ascii="Calibri" w:hAnsi="Calibri"/>
                <w:b w:val="0"/>
                <w:color w:val="1F2933"/>
                <w:sz w:val="18"/>
              </w:rPr>
              <w:t>#3ED1C2</w:t>
            </w:r>
          </w:p>
        </w:tc>
        <w:tc>
          <w:tcPr>
            <w:tcW w:type="dxa" w:w="5328"/>
            <w:vAlign w:val="center"/>
          </w:tcPr>
          <w:p>
            <w:pPr>
              <w:spacing w:after="0"/>
            </w:pPr>
            <w:r/>
            <w:r>
              <w:rPr>
                <w:rFonts w:ascii="Calibri" w:hAnsi="Calibri"/>
                <w:b w:val="0"/>
                <w:color w:val="1F2933"/>
                <w:sz w:val="18"/>
              </w:rPr>
              <w:t>Highlights, success states, gradients</w:t>
            </w:r>
          </w:p>
        </w:tc>
      </w:tr>
      <w:tr>
        <w:tc>
          <w:tcPr>
            <w:tcW w:type="dxa" w:w="2232"/>
            <w:vAlign w:val="center"/>
          </w:tcPr>
          <w:p>
            <w:pPr>
              <w:spacing w:after="0"/>
            </w:pPr>
            <w:r/>
            <w:r>
              <w:rPr>
                <w:rFonts w:ascii="Calibri" w:hAnsi="Calibri"/>
                <w:b w:val="0"/>
                <w:color w:val="1F2933"/>
                <w:sz w:val="18"/>
              </w:rPr>
              <w:t>Danger coral</w:t>
            </w:r>
          </w:p>
        </w:tc>
        <w:tc>
          <w:tcPr>
            <w:tcW w:type="dxa" w:w="1656"/>
            <w:vAlign w:val="center"/>
          </w:tcPr>
          <w:p>
            <w:pPr>
              <w:spacing w:after="0"/>
            </w:pPr>
            <w:r/>
            <w:r>
              <w:rPr>
                <w:rFonts w:ascii="Calibri" w:hAnsi="Calibri"/>
                <w:b w:val="0"/>
                <w:color w:val="1F2933"/>
                <w:sz w:val="18"/>
              </w:rPr>
              <w:t>#F56565</w:t>
            </w:r>
          </w:p>
        </w:tc>
        <w:tc>
          <w:tcPr>
            <w:tcW w:type="dxa" w:w="5328"/>
            <w:vAlign w:val="center"/>
          </w:tcPr>
          <w:p>
            <w:pPr>
              <w:spacing w:after="0"/>
            </w:pPr>
            <w:r/>
            <w:r>
              <w:rPr>
                <w:rFonts w:ascii="Calibri" w:hAnsi="Calibri"/>
                <w:b w:val="0"/>
                <w:color w:val="1F2933"/>
                <w:sz w:val="18"/>
              </w:rPr>
              <w:t>Refund warnings, delete actions, failed payment states</w:t>
            </w:r>
          </w:p>
        </w:tc>
      </w:tr>
      <w:tr>
        <w:tc>
          <w:tcPr>
            <w:tcW w:type="dxa" w:w="2232"/>
            <w:vAlign w:val="center"/>
          </w:tcPr>
          <w:p>
            <w:pPr>
              <w:spacing w:after="0"/>
            </w:pPr>
            <w:r/>
            <w:r>
              <w:rPr>
                <w:rFonts w:ascii="Calibri" w:hAnsi="Calibri"/>
                <w:b w:val="0"/>
                <w:color w:val="1F2933"/>
                <w:sz w:val="18"/>
              </w:rPr>
              <w:t>Muted text</w:t>
            </w:r>
          </w:p>
        </w:tc>
        <w:tc>
          <w:tcPr>
            <w:tcW w:type="dxa" w:w="1656"/>
            <w:vAlign w:val="center"/>
          </w:tcPr>
          <w:p>
            <w:pPr>
              <w:spacing w:after="0"/>
            </w:pPr>
            <w:r/>
            <w:r>
              <w:rPr>
                <w:rFonts w:ascii="Calibri" w:hAnsi="Calibri"/>
                <w:b w:val="0"/>
                <w:color w:val="1F2933"/>
                <w:sz w:val="18"/>
              </w:rPr>
              <w:t>#9AA4B2</w:t>
            </w:r>
          </w:p>
        </w:tc>
        <w:tc>
          <w:tcPr>
            <w:tcW w:type="dxa" w:w="5328"/>
            <w:vAlign w:val="center"/>
          </w:tcPr>
          <w:p>
            <w:pPr>
              <w:spacing w:after="0"/>
            </w:pPr>
            <w:r/>
            <w:r>
              <w:rPr>
                <w:rFonts w:ascii="Calibri" w:hAnsi="Calibri"/>
                <w:b w:val="0"/>
                <w:color w:val="1F2933"/>
                <w:sz w:val="18"/>
              </w:rPr>
              <w:t>Secondary labels and helper text</w:t>
            </w:r>
          </w:p>
        </w:tc>
      </w:tr>
    </w:tbl>
    <w:p/>
    <w:p>
      <w:pPr>
        <w:pStyle w:val="ListBullet"/>
      </w:pPr>
      <w:r>
        <w:t>Use dark surfaces for account, payment, checkout, seller finance, and admin areas.</w:t>
      </w:r>
    </w:p>
    <w:p>
      <w:pPr>
        <w:pStyle w:val="ListBullet"/>
      </w:pPr>
      <w:r>
        <w:t>Use product imagery generously on buyer screens so the app does not feel like a wallet with products added.</w:t>
      </w:r>
    </w:p>
    <w:p>
      <w:pPr>
        <w:pStyle w:val="ListBullet"/>
      </w:pPr>
      <w:r>
        <w:t>Use teal for the main path forward and coral only for destructive, failed, or refund-related actions.</w:t>
      </w:r>
    </w:p>
    <w:p>
      <w:pPr>
        <w:pStyle w:val="ListBullet"/>
      </w:pPr>
      <w:r>
        <w:t>Keep cards compact with moderate radius, strong spacing, and readable mobile typography.</w:t>
      </w:r>
    </w:p>
    <w:p>
      <w:pPr>
        <w:pStyle w:val="Heading1"/>
      </w:pPr>
      <w:r>
        <w:t>9. Build Roadmap</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2088"/>
        <w:gridCol w:w="2448"/>
        <w:gridCol w:w="4680"/>
      </w:tblGrid>
      <w:tr>
        <w:trPr>
          <w:tblHeader w:val="true"/>
        </w:trPr>
        <w:tc>
          <w:tcPr>
            <w:tcW w:type="dxa" w:w="3120"/>
            <w:shd w:fill="063F3B"/>
            <w:vAlign w:val="center"/>
          </w:tcPr>
          <w:p>
            <w:pPr>
              <w:spacing w:after="0"/>
            </w:pPr>
            <w:r/>
            <w:r>
              <w:rPr>
                <w:rFonts w:ascii="Calibri" w:hAnsi="Calibri"/>
                <w:b/>
                <w:color w:val="FFFFFF"/>
                <w:sz w:val="19"/>
              </w:rPr>
              <w:t>Phase</w:t>
            </w:r>
          </w:p>
        </w:tc>
        <w:tc>
          <w:tcPr>
            <w:tcW w:type="dxa" w:w="3120"/>
            <w:shd w:fill="063F3B"/>
            <w:vAlign w:val="center"/>
          </w:tcPr>
          <w:p>
            <w:pPr>
              <w:spacing w:after="0"/>
            </w:pPr>
            <w:r/>
            <w:r>
              <w:rPr>
                <w:rFonts w:ascii="Calibri" w:hAnsi="Calibri"/>
                <w:b/>
                <w:color w:val="FFFFFF"/>
                <w:sz w:val="19"/>
              </w:rPr>
              <w:t>Outcome</w:t>
            </w:r>
          </w:p>
        </w:tc>
        <w:tc>
          <w:tcPr>
            <w:tcW w:type="dxa" w:w="3120"/>
            <w:shd w:fill="063F3B"/>
            <w:vAlign w:val="center"/>
          </w:tcPr>
          <w:p>
            <w:pPr>
              <w:spacing w:after="0"/>
            </w:pPr>
            <w:r/>
            <w:r>
              <w:rPr>
                <w:rFonts w:ascii="Calibri" w:hAnsi="Calibri"/>
                <w:b/>
                <w:color w:val="FFFFFF"/>
                <w:sz w:val="19"/>
              </w:rPr>
              <w:t>Key Work</w:t>
            </w:r>
          </w:p>
        </w:tc>
      </w:tr>
      <w:tr>
        <w:tc>
          <w:tcPr>
            <w:tcW w:type="dxa" w:w="2088"/>
            <w:vAlign w:val="center"/>
          </w:tcPr>
          <w:p>
            <w:pPr>
              <w:spacing w:after="0"/>
            </w:pPr>
            <w:r/>
            <w:r>
              <w:rPr>
                <w:rFonts w:ascii="Calibri" w:hAnsi="Calibri"/>
                <w:b w:val="0"/>
                <w:color w:val="1F2933"/>
                <w:sz w:val="18"/>
              </w:rPr>
              <w:t>Phase 0: Decisions</w:t>
            </w:r>
          </w:p>
        </w:tc>
        <w:tc>
          <w:tcPr>
            <w:tcW w:type="dxa" w:w="2448"/>
            <w:vAlign w:val="center"/>
          </w:tcPr>
          <w:p>
            <w:pPr>
              <w:spacing w:after="0"/>
            </w:pPr>
            <w:r/>
            <w:r>
              <w:rPr>
                <w:rFonts w:ascii="Calibri" w:hAnsi="Calibri"/>
                <w:b w:val="0"/>
                <w:color w:val="1F2933"/>
                <w:sz w:val="18"/>
              </w:rPr>
              <w:t>Ready-to-build scope</w:t>
            </w:r>
          </w:p>
        </w:tc>
        <w:tc>
          <w:tcPr>
            <w:tcW w:type="dxa" w:w="4680"/>
            <w:vAlign w:val="center"/>
          </w:tcPr>
          <w:p>
            <w:pPr>
              <w:spacing w:after="0"/>
            </w:pPr>
            <w:r/>
            <w:r>
              <w:rPr>
                <w:rFonts w:ascii="Calibri" w:hAnsi="Calibri"/>
                <w:b w:val="0"/>
                <w:color w:val="1F2933"/>
                <w:sz w:val="18"/>
              </w:rPr>
              <w:t>Choose countries, Firebase project ID, commission, refund thresholds, delivery model, and initial categories.</w:t>
            </w:r>
          </w:p>
        </w:tc>
      </w:tr>
      <w:tr>
        <w:tc>
          <w:tcPr>
            <w:tcW w:type="dxa" w:w="2088"/>
            <w:vAlign w:val="center"/>
          </w:tcPr>
          <w:p>
            <w:pPr>
              <w:spacing w:after="0"/>
            </w:pPr>
            <w:r/>
            <w:r>
              <w:rPr>
                <w:rFonts w:ascii="Calibri" w:hAnsi="Calibri"/>
                <w:b w:val="0"/>
                <w:color w:val="1F2933"/>
                <w:sz w:val="18"/>
              </w:rPr>
              <w:t>Phase 1: Project setup</w:t>
            </w:r>
          </w:p>
        </w:tc>
        <w:tc>
          <w:tcPr>
            <w:tcW w:type="dxa" w:w="2448"/>
            <w:vAlign w:val="center"/>
          </w:tcPr>
          <w:p>
            <w:pPr>
              <w:spacing w:after="0"/>
            </w:pPr>
            <w:r/>
            <w:r>
              <w:rPr>
                <w:rFonts w:ascii="Calibri" w:hAnsi="Calibri"/>
                <w:b w:val="0"/>
                <w:color w:val="1F2933"/>
                <w:sz w:val="18"/>
              </w:rPr>
              <w:t>New app foundation</w:t>
            </w:r>
          </w:p>
        </w:tc>
        <w:tc>
          <w:tcPr>
            <w:tcW w:type="dxa" w:w="4680"/>
            <w:vAlign w:val="center"/>
          </w:tcPr>
          <w:p>
            <w:pPr>
              <w:spacing w:after="0"/>
            </w:pPr>
            <w:r/>
            <w:r>
              <w:rPr>
                <w:rFonts w:ascii="Calibri" w:hAnsi="Calibri"/>
                <w:b w:val="0"/>
                <w:color w:val="1F2933"/>
                <w:sz w:val="18"/>
              </w:rPr>
              <w:t>Create GitHub repo, scaffold Flutter app, connect Firebase, define routing, theme, and base services.</w:t>
            </w:r>
          </w:p>
        </w:tc>
      </w:tr>
      <w:tr>
        <w:tc>
          <w:tcPr>
            <w:tcW w:type="dxa" w:w="2088"/>
            <w:vAlign w:val="center"/>
          </w:tcPr>
          <w:p>
            <w:pPr>
              <w:spacing w:after="0"/>
            </w:pPr>
            <w:r/>
            <w:r>
              <w:rPr>
                <w:rFonts w:ascii="Calibri" w:hAnsi="Calibri"/>
                <w:b w:val="0"/>
                <w:color w:val="1F2933"/>
                <w:sz w:val="18"/>
              </w:rPr>
              <w:t>Phase 2: Backend</w:t>
            </w:r>
          </w:p>
        </w:tc>
        <w:tc>
          <w:tcPr>
            <w:tcW w:type="dxa" w:w="2448"/>
            <w:vAlign w:val="center"/>
          </w:tcPr>
          <w:p>
            <w:pPr>
              <w:spacing w:after="0"/>
            </w:pPr>
            <w:r/>
            <w:r>
              <w:rPr>
                <w:rFonts w:ascii="Calibri" w:hAnsi="Calibri"/>
                <w:b w:val="0"/>
                <w:color w:val="1F2933"/>
                <w:sz w:val="18"/>
              </w:rPr>
              <w:t>Marketplace data foundation</w:t>
            </w:r>
          </w:p>
        </w:tc>
        <w:tc>
          <w:tcPr>
            <w:tcW w:type="dxa" w:w="4680"/>
            <w:vAlign w:val="center"/>
          </w:tcPr>
          <w:p>
            <w:pPr>
              <w:spacing w:after="0"/>
            </w:pPr>
            <w:r/>
            <w:r>
              <w:rPr>
                <w:rFonts w:ascii="Calibri" w:hAnsi="Calibri"/>
                <w:b w:val="0"/>
                <w:color w:val="1F2933"/>
                <w:sz w:val="18"/>
              </w:rPr>
              <w:t>Products, sellers, buyers, orders, payment confirmation, state machine, security rules, and Cloud Functions.</w:t>
            </w:r>
          </w:p>
        </w:tc>
      </w:tr>
      <w:tr>
        <w:tc>
          <w:tcPr>
            <w:tcW w:type="dxa" w:w="2088"/>
            <w:vAlign w:val="center"/>
          </w:tcPr>
          <w:p>
            <w:pPr>
              <w:spacing w:after="0"/>
            </w:pPr>
            <w:r/>
            <w:r>
              <w:rPr>
                <w:rFonts w:ascii="Calibri" w:hAnsi="Calibri"/>
                <w:b w:val="0"/>
                <w:color w:val="1F2933"/>
                <w:sz w:val="18"/>
              </w:rPr>
              <w:t>Phase 3: Buyer MVP</w:t>
            </w:r>
          </w:p>
        </w:tc>
        <w:tc>
          <w:tcPr>
            <w:tcW w:type="dxa" w:w="2448"/>
            <w:vAlign w:val="center"/>
          </w:tcPr>
          <w:p>
            <w:pPr>
              <w:spacing w:after="0"/>
            </w:pPr>
            <w:r/>
            <w:r>
              <w:rPr>
                <w:rFonts w:ascii="Calibri" w:hAnsi="Calibri"/>
                <w:b w:val="0"/>
                <w:color w:val="1F2933"/>
                <w:sz w:val="18"/>
              </w:rPr>
              <w:t>Customer shopping flow</w:t>
            </w:r>
          </w:p>
        </w:tc>
        <w:tc>
          <w:tcPr>
            <w:tcW w:type="dxa" w:w="4680"/>
            <w:vAlign w:val="center"/>
          </w:tcPr>
          <w:p>
            <w:pPr>
              <w:spacing w:after="0"/>
            </w:pPr>
            <w:r/>
            <w:r>
              <w:rPr>
                <w:rFonts w:ascii="Calibri" w:hAnsi="Calibri"/>
                <w:b w:val="0"/>
                <w:color w:val="1F2933"/>
                <w:sz w:val="18"/>
              </w:rPr>
              <w:t>Home, categories, search, product detail, cart, checkout, QR payment, orders, wishlist, reviews.</w:t>
            </w:r>
          </w:p>
        </w:tc>
      </w:tr>
      <w:tr>
        <w:tc>
          <w:tcPr>
            <w:tcW w:type="dxa" w:w="2088"/>
            <w:vAlign w:val="center"/>
          </w:tcPr>
          <w:p>
            <w:pPr>
              <w:spacing w:after="0"/>
            </w:pPr>
            <w:r/>
            <w:r>
              <w:rPr>
                <w:rFonts w:ascii="Calibri" w:hAnsi="Calibri"/>
                <w:b w:val="0"/>
                <w:color w:val="1F2933"/>
                <w:sz w:val="18"/>
              </w:rPr>
              <w:t>Phase 4: Seller MVP</w:t>
            </w:r>
          </w:p>
        </w:tc>
        <w:tc>
          <w:tcPr>
            <w:tcW w:type="dxa" w:w="2448"/>
            <w:vAlign w:val="center"/>
          </w:tcPr>
          <w:p>
            <w:pPr>
              <w:spacing w:after="0"/>
            </w:pPr>
            <w:r/>
            <w:r>
              <w:rPr>
                <w:rFonts w:ascii="Calibri" w:hAnsi="Calibri"/>
                <w:b w:val="0"/>
                <w:color w:val="1F2933"/>
                <w:sz w:val="18"/>
              </w:rPr>
              <w:t>Seller operations</w:t>
            </w:r>
          </w:p>
        </w:tc>
        <w:tc>
          <w:tcPr>
            <w:tcW w:type="dxa" w:w="4680"/>
            <w:vAlign w:val="center"/>
          </w:tcPr>
          <w:p>
            <w:pPr>
              <w:spacing w:after="0"/>
            </w:pPr>
            <w:r/>
            <w:r>
              <w:rPr>
                <w:rFonts w:ascii="Calibri" w:hAnsi="Calibri"/>
                <w:b w:val="0"/>
                <w:color w:val="1F2933"/>
                <w:sz w:val="18"/>
              </w:rPr>
              <w:t>Seller onboarding, product CRUD, inventory, order management, sales and payout visibility.</w:t>
            </w:r>
          </w:p>
        </w:tc>
      </w:tr>
      <w:tr>
        <w:tc>
          <w:tcPr>
            <w:tcW w:type="dxa" w:w="2088"/>
            <w:vAlign w:val="center"/>
          </w:tcPr>
          <w:p>
            <w:pPr>
              <w:spacing w:after="0"/>
            </w:pPr>
            <w:r/>
            <w:r>
              <w:rPr>
                <w:rFonts w:ascii="Calibri" w:hAnsi="Calibri"/>
                <w:b w:val="0"/>
                <w:color w:val="1F2933"/>
                <w:sz w:val="18"/>
              </w:rPr>
              <w:t>Phase 5: Admin MVP</w:t>
            </w:r>
          </w:p>
        </w:tc>
        <w:tc>
          <w:tcPr>
            <w:tcW w:type="dxa" w:w="2448"/>
            <w:vAlign w:val="center"/>
          </w:tcPr>
          <w:p>
            <w:pPr>
              <w:spacing w:after="0"/>
            </w:pPr>
            <w:r/>
            <w:r>
              <w:rPr>
                <w:rFonts w:ascii="Calibri" w:hAnsi="Calibri"/>
                <w:b w:val="0"/>
                <w:color w:val="1F2933"/>
                <w:sz w:val="18"/>
              </w:rPr>
              <w:t>Platform control</w:t>
            </w:r>
          </w:p>
        </w:tc>
        <w:tc>
          <w:tcPr>
            <w:tcW w:type="dxa" w:w="4680"/>
            <w:vAlign w:val="center"/>
          </w:tcPr>
          <w:p>
            <w:pPr>
              <w:spacing w:after="0"/>
            </w:pPr>
            <w:r/>
            <w:r>
              <w:rPr>
                <w:rFonts w:ascii="Calibri" w:hAnsi="Calibri"/>
                <w:b w:val="0"/>
                <w:color w:val="1F2933"/>
                <w:sz w:val="18"/>
              </w:rPr>
              <w:t>Approval queues, orders, refunds, commissions, audit logs, reports, and role controls.</w:t>
            </w:r>
          </w:p>
        </w:tc>
      </w:tr>
      <w:tr>
        <w:tc>
          <w:tcPr>
            <w:tcW w:type="dxa" w:w="2088"/>
            <w:vAlign w:val="center"/>
          </w:tcPr>
          <w:p>
            <w:pPr>
              <w:spacing w:after="0"/>
            </w:pPr>
            <w:r/>
            <w:r>
              <w:rPr>
                <w:rFonts w:ascii="Calibri" w:hAnsi="Calibri"/>
                <w:b w:val="0"/>
                <w:color w:val="1F2933"/>
                <w:sz w:val="18"/>
              </w:rPr>
              <w:t>Phase 6: Enhancements</w:t>
            </w:r>
          </w:p>
        </w:tc>
        <w:tc>
          <w:tcPr>
            <w:tcW w:type="dxa" w:w="2448"/>
            <w:vAlign w:val="center"/>
          </w:tcPr>
          <w:p>
            <w:pPr>
              <w:spacing w:after="0"/>
            </w:pPr>
            <w:r/>
            <w:r>
              <w:rPr>
                <w:rFonts w:ascii="Calibri" w:hAnsi="Calibri"/>
                <w:b w:val="0"/>
                <w:color w:val="1F2933"/>
                <w:sz w:val="18"/>
              </w:rPr>
              <w:t>Smoother commerce</w:t>
            </w:r>
          </w:p>
        </w:tc>
        <w:tc>
          <w:tcPr>
            <w:tcW w:type="dxa" w:w="4680"/>
            <w:vAlign w:val="center"/>
          </w:tcPr>
          <w:p>
            <w:pPr>
              <w:spacing w:after="0"/>
            </w:pPr>
            <w:r/>
            <w:r>
              <w:rPr>
                <w:rFonts w:ascii="Calibri" w:hAnsi="Calibri"/>
                <w:b w:val="0"/>
                <w:color w:val="1F2933"/>
                <w:sz w:val="18"/>
              </w:rPr>
              <w:t>Deep links, pay on delivery, courier confirmation, advanced notifications, promotions, analytics.</w:t>
            </w:r>
          </w:p>
        </w:tc>
      </w:tr>
    </w:tbl>
    <w:p/>
    <w:p>
      <w:pPr>
        <w:pStyle w:val="Heading1"/>
      </w:pPr>
      <w:r>
        <w:t>10. Open Decisions</w:t>
      </w:r>
    </w:p>
    <w:tbl>
      <w:tblPr>
        <w:tblW w:type="auto" w:w="0"/>
        <w:jc w:val="center"/>
        <w:tblLayout w:type="fixed"/>
        <w:tblLook w:firstColumn="1" w:firstRow="1" w:lastColumn="0" w:lastRow="0" w:noHBand="0" w:noVBand="1" w:val="04A0"/>
        <w:tblBorders>
          <w:top w:val="single" w:sz="4" w:space="0" w:color="D9E2E7"/>
          <w:left w:val="single" w:sz="4" w:space="0" w:color="D9E2E7"/>
          <w:bottom w:val="single" w:sz="4" w:space="0" w:color="D9E2E7"/>
          <w:right w:val="single" w:sz="4" w:space="0" w:color="D9E2E7"/>
          <w:insideH w:val="single" w:sz="4" w:space="0" w:color="D9E2E7"/>
          <w:insideV w:val="single" w:sz="4" w:space="0" w:color="D9E2E7"/>
        </w:tblBorders>
      </w:tblPr>
      <w:tblGrid>
        <w:gridCol w:w="3024"/>
        <w:gridCol w:w="6192"/>
      </w:tblGrid>
      <w:tr>
        <w:trPr>
          <w:tblHeader w:val="true"/>
        </w:trPr>
        <w:tc>
          <w:tcPr>
            <w:tcW w:type="dxa" w:w="4680"/>
            <w:shd w:fill="063F3B"/>
            <w:vAlign w:val="center"/>
          </w:tcPr>
          <w:p>
            <w:pPr>
              <w:spacing w:after="0"/>
            </w:pPr>
            <w:r/>
            <w:r>
              <w:rPr>
                <w:rFonts w:ascii="Calibri" w:hAnsi="Calibri"/>
                <w:b/>
                <w:color w:val="FFFFFF"/>
                <w:sz w:val="19"/>
              </w:rPr>
              <w:t>Decision</w:t>
            </w:r>
          </w:p>
        </w:tc>
        <w:tc>
          <w:tcPr>
            <w:tcW w:type="dxa" w:w="4680"/>
            <w:shd w:fill="063F3B"/>
            <w:vAlign w:val="center"/>
          </w:tcPr>
          <w:p>
            <w:pPr>
              <w:spacing w:after="0"/>
            </w:pPr>
            <w:r/>
            <w:r>
              <w:rPr>
                <w:rFonts w:ascii="Calibri" w:hAnsi="Calibri"/>
                <w:b/>
                <w:color w:val="FFFFFF"/>
                <w:sz w:val="19"/>
              </w:rPr>
              <w:t>Recommended Default</w:t>
            </w:r>
          </w:p>
        </w:tc>
      </w:tr>
      <w:tr>
        <w:tc>
          <w:tcPr>
            <w:tcW w:type="dxa" w:w="3024"/>
            <w:vAlign w:val="center"/>
          </w:tcPr>
          <w:p>
            <w:pPr>
              <w:spacing w:after="0"/>
            </w:pPr>
            <w:r/>
            <w:r>
              <w:rPr>
                <w:rFonts w:ascii="Calibri" w:hAnsi="Calibri"/>
                <w:b w:val="0"/>
                <w:color w:val="1F2933"/>
                <w:sz w:val="18"/>
              </w:rPr>
              <w:t>Initial countries</w:t>
            </w:r>
          </w:p>
        </w:tc>
        <w:tc>
          <w:tcPr>
            <w:tcW w:type="dxa" w:w="6192"/>
            <w:vAlign w:val="center"/>
          </w:tcPr>
          <w:p>
            <w:pPr>
              <w:spacing w:after="0"/>
            </w:pPr>
            <w:r/>
            <w:r>
              <w:rPr>
                <w:rFonts w:ascii="Calibri" w:hAnsi="Calibri"/>
                <w:b w:val="0"/>
                <w:color w:val="1F2933"/>
                <w:sz w:val="18"/>
              </w:rPr>
              <w:t>Start with Ghana and Nigeria if operations are ready; otherwise Ghana only for faster launch.</w:t>
            </w:r>
          </w:p>
        </w:tc>
      </w:tr>
      <w:tr>
        <w:tc>
          <w:tcPr>
            <w:tcW w:type="dxa" w:w="3024"/>
            <w:vAlign w:val="center"/>
          </w:tcPr>
          <w:p>
            <w:pPr>
              <w:spacing w:after="0"/>
            </w:pPr>
            <w:r/>
            <w:r>
              <w:rPr>
                <w:rFonts w:ascii="Calibri" w:hAnsi="Calibri"/>
                <w:b w:val="0"/>
                <w:color w:val="1F2933"/>
                <w:sz w:val="18"/>
              </w:rPr>
              <w:t>Firebase project</w:t>
            </w:r>
          </w:p>
        </w:tc>
        <w:tc>
          <w:tcPr>
            <w:tcW w:type="dxa" w:w="6192"/>
            <w:vAlign w:val="center"/>
          </w:tcPr>
          <w:p>
            <w:pPr>
              <w:spacing w:after="0"/>
            </w:pPr>
            <w:r/>
            <w:r>
              <w:rPr>
                <w:rFonts w:ascii="Calibri" w:hAnsi="Calibri"/>
                <w:b w:val="0"/>
                <w:color w:val="1F2933"/>
                <w:sz w:val="18"/>
              </w:rPr>
              <w:t>Create a dedicated Shop Afrik Firebase project separate from QR Wallet.</w:t>
            </w:r>
          </w:p>
        </w:tc>
      </w:tr>
      <w:tr>
        <w:tc>
          <w:tcPr>
            <w:tcW w:type="dxa" w:w="3024"/>
            <w:vAlign w:val="center"/>
          </w:tcPr>
          <w:p>
            <w:pPr>
              <w:spacing w:after="0"/>
            </w:pPr>
            <w:r/>
            <w:r>
              <w:rPr>
                <w:rFonts w:ascii="Calibri" w:hAnsi="Calibri"/>
                <w:b w:val="0"/>
                <w:color w:val="1F2933"/>
                <w:sz w:val="18"/>
              </w:rPr>
              <w:t>Commission</w:t>
            </w:r>
          </w:p>
        </w:tc>
        <w:tc>
          <w:tcPr>
            <w:tcW w:type="dxa" w:w="6192"/>
            <w:vAlign w:val="center"/>
          </w:tcPr>
          <w:p>
            <w:pPr>
              <w:spacing w:after="0"/>
            </w:pPr>
            <w:r/>
            <w:r>
              <w:rPr>
                <w:rFonts w:ascii="Calibri" w:hAnsi="Calibri"/>
                <w:b w:val="0"/>
                <w:color w:val="1F2933"/>
                <w:sz w:val="18"/>
              </w:rPr>
              <w:t>15 percent for MVP, stored as admin-configurable platform setting.</w:t>
            </w:r>
          </w:p>
        </w:tc>
      </w:tr>
      <w:tr>
        <w:tc>
          <w:tcPr>
            <w:tcW w:type="dxa" w:w="3024"/>
            <w:vAlign w:val="center"/>
          </w:tcPr>
          <w:p>
            <w:pPr>
              <w:spacing w:after="0"/>
            </w:pPr>
            <w:r/>
            <w:r>
              <w:rPr>
                <w:rFonts w:ascii="Calibri" w:hAnsi="Calibri"/>
                <w:b w:val="0"/>
                <w:color w:val="1F2933"/>
                <w:sz w:val="18"/>
              </w:rPr>
              <w:t>Refund Tier 1</w:t>
            </w:r>
          </w:p>
        </w:tc>
        <w:tc>
          <w:tcPr>
            <w:tcW w:type="dxa" w:w="6192"/>
            <w:vAlign w:val="center"/>
          </w:tcPr>
          <w:p>
            <w:pPr>
              <w:spacing w:after="0"/>
            </w:pPr>
            <w:r/>
            <w:r>
              <w:rPr>
                <w:rFonts w:ascii="Calibri" w:hAnsi="Calibri"/>
                <w:b w:val="0"/>
                <w:color w:val="1F2933"/>
                <w:sz w:val="18"/>
              </w:rPr>
              <w:t>Admin can approve up to NGN 50,000 equivalent.</w:t>
            </w:r>
          </w:p>
        </w:tc>
      </w:tr>
      <w:tr>
        <w:tc>
          <w:tcPr>
            <w:tcW w:type="dxa" w:w="3024"/>
            <w:vAlign w:val="center"/>
          </w:tcPr>
          <w:p>
            <w:pPr>
              <w:spacing w:after="0"/>
            </w:pPr>
            <w:r/>
            <w:r>
              <w:rPr>
                <w:rFonts w:ascii="Calibri" w:hAnsi="Calibri"/>
                <w:b w:val="0"/>
                <w:color w:val="1F2933"/>
                <w:sz w:val="18"/>
              </w:rPr>
              <w:t>Refund Tier 2</w:t>
            </w:r>
          </w:p>
        </w:tc>
        <w:tc>
          <w:tcPr>
            <w:tcW w:type="dxa" w:w="6192"/>
            <w:vAlign w:val="center"/>
          </w:tcPr>
          <w:p>
            <w:pPr>
              <w:spacing w:after="0"/>
            </w:pPr>
            <w:r/>
            <w:r>
              <w:rPr>
                <w:rFonts w:ascii="Calibri" w:hAnsi="Calibri"/>
                <w:b w:val="0"/>
                <w:color w:val="1F2933"/>
                <w:sz w:val="18"/>
              </w:rPr>
              <w:t>Admin plus supervisor approval up to NGN 300,000 equivalent.</w:t>
            </w:r>
          </w:p>
        </w:tc>
      </w:tr>
      <w:tr>
        <w:tc>
          <w:tcPr>
            <w:tcW w:type="dxa" w:w="3024"/>
            <w:vAlign w:val="center"/>
          </w:tcPr>
          <w:p>
            <w:pPr>
              <w:spacing w:after="0"/>
            </w:pPr>
            <w:r/>
            <w:r>
              <w:rPr>
                <w:rFonts w:ascii="Calibri" w:hAnsi="Calibri"/>
                <w:b w:val="0"/>
                <w:color w:val="1F2933"/>
                <w:sz w:val="18"/>
              </w:rPr>
              <w:t>Low stock threshold</w:t>
            </w:r>
          </w:p>
        </w:tc>
        <w:tc>
          <w:tcPr>
            <w:tcW w:type="dxa" w:w="6192"/>
            <w:vAlign w:val="center"/>
          </w:tcPr>
          <w:p>
            <w:pPr>
              <w:spacing w:after="0"/>
            </w:pPr>
            <w:r/>
            <w:r>
              <w:rPr>
                <w:rFonts w:ascii="Calibri" w:hAnsi="Calibri"/>
                <w:b w:val="0"/>
                <w:color w:val="1F2933"/>
                <w:sz w:val="18"/>
              </w:rPr>
              <w:t>20 percent of initial stock or a seller-defined minimum quantity.</w:t>
            </w:r>
          </w:p>
        </w:tc>
      </w:tr>
      <w:tr>
        <w:tc>
          <w:tcPr>
            <w:tcW w:type="dxa" w:w="3024"/>
            <w:vAlign w:val="center"/>
          </w:tcPr>
          <w:p>
            <w:pPr>
              <w:spacing w:after="0"/>
            </w:pPr>
            <w:r/>
            <w:r>
              <w:rPr>
                <w:rFonts w:ascii="Calibri" w:hAnsi="Calibri"/>
                <w:b w:val="0"/>
                <w:color w:val="1F2933"/>
                <w:sz w:val="18"/>
              </w:rPr>
              <w:t>Delivery code</w:t>
            </w:r>
          </w:p>
        </w:tc>
        <w:tc>
          <w:tcPr>
            <w:tcW w:type="dxa" w:w="6192"/>
            <w:vAlign w:val="center"/>
          </w:tcPr>
          <w:p>
            <w:pPr>
              <w:spacing w:after="0"/>
            </w:pPr>
            <w:r/>
            <w:r>
              <w:rPr>
                <w:rFonts w:ascii="Calibri" w:hAnsi="Calibri"/>
                <w:b w:val="0"/>
                <w:color w:val="1F2933"/>
                <w:sz w:val="18"/>
              </w:rPr>
              <w:t>Optional in MVP, recommended before scaling courier operations.</w:t>
            </w:r>
          </w:p>
        </w:tc>
      </w:tr>
      <w:tr>
        <w:tc>
          <w:tcPr>
            <w:tcW w:type="dxa" w:w="3024"/>
            <w:vAlign w:val="center"/>
          </w:tcPr>
          <w:p>
            <w:pPr>
              <w:spacing w:after="0"/>
            </w:pPr>
            <w:r/>
            <w:r>
              <w:rPr>
                <w:rFonts w:ascii="Calibri" w:hAnsi="Calibri"/>
                <w:b w:val="0"/>
                <w:color w:val="1F2933"/>
                <w:sz w:val="18"/>
              </w:rPr>
              <w:t>Minimum order amount</w:t>
            </w:r>
          </w:p>
        </w:tc>
        <w:tc>
          <w:tcPr>
            <w:tcW w:type="dxa" w:w="6192"/>
            <w:vAlign w:val="center"/>
          </w:tcPr>
          <w:p>
            <w:pPr>
              <w:spacing w:after="0"/>
            </w:pPr>
            <w:r/>
            <w:r>
              <w:rPr>
                <w:rFonts w:ascii="Calibri" w:hAnsi="Calibri"/>
                <w:b w:val="0"/>
                <w:color w:val="1F2933"/>
                <w:sz w:val="18"/>
              </w:rPr>
              <w:t>Decide per country after delivery fee model is selected.</w:t>
            </w:r>
          </w:p>
        </w:tc>
      </w:tr>
      <w:tr>
        <w:tc>
          <w:tcPr>
            <w:tcW w:type="dxa" w:w="3024"/>
            <w:vAlign w:val="center"/>
          </w:tcPr>
          <w:p>
            <w:pPr>
              <w:spacing w:after="0"/>
            </w:pPr>
            <w:r/>
            <w:r>
              <w:rPr>
                <w:rFonts w:ascii="Calibri" w:hAnsi="Calibri"/>
                <w:b w:val="0"/>
                <w:color w:val="1F2933"/>
                <w:sz w:val="18"/>
              </w:rPr>
              <w:t>Initial categories</w:t>
            </w:r>
          </w:p>
        </w:tc>
        <w:tc>
          <w:tcPr>
            <w:tcW w:type="dxa" w:w="6192"/>
            <w:vAlign w:val="center"/>
          </w:tcPr>
          <w:p>
            <w:pPr>
              <w:spacing w:after="0"/>
            </w:pPr>
            <w:r/>
            <w:r>
              <w:rPr>
                <w:rFonts w:ascii="Calibri" w:hAnsi="Calibri"/>
                <w:b w:val="0"/>
                <w:color w:val="1F2933"/>
                <w:sz w:val="18"/>
              </w:rPr>
              <w:t>Start with 10 to 15 main categories.</w:t>
            </w:r>
          </w:p>
        </w:tc>
      </w:tr>
      <w:tr>
        <w:tc>
          <w:tcPr>
            <w:tcW w:type="dxa" w:w="3024"/>
            <w:vAlign w:val="center"/>
          </w:tcPr>
          <w:p>
            <w:pPr>
              <w:spacing w:after="0"/>
            </w:pPr>
            <w:r/>
            <w:r>
              <w:rPr>
                <w:rFonts w:ascii="Calibri" w:hAnsi="Calibri"/>
                <w:b w:val="0"/>
                <w:color w:val="1F2933"/>
                <w:sz w:val="18"/>
              </w:rPr>
              <w:t>Max products per seller</w:t>
            </w:r>
          </w:p>
        </w:tc>
        <w:tc>
          <w:tcPr>
            <w:tcW w:type="dxa" w:w="6192"/>
            <w:vAlign w:val="center"/>
          </w:tcPr>
          <w:p>
            <w:pPr>
              <w:spacing w:after="0"/>
            </w:pPr>
            <w:r/>
            <w:r>
              <w:rPr>
                <w:rFonts w:ascii="Calibri" w:hAnsi="Calibri"/>
                <w:b w:val="0"/>
                <w:color w:val="1F2933"/>
                <w:sz w:val="18"/>
              </w:rPr>
              <w:t>500 products per seller for v1.</w:t>
            </w:r>
          </w:p>
        </w:tc>
      </w:tr>
    </w:tbl>
    <w:p/>
    <w:p>
      <w:pPr>
        <w:pStyle w:val="Heading1"/>
      </w:pPr>
      <w:r>
        <w:t>11. Immediate Next Steps</w:t>
      </w:r>
    </w:p>
    <w:p>
      <w:pPr>
        <w:pStyle w:val="ListNumber"/>
      </w:pPr>
      <w:r>
        <w:t>Approve this planning document or mark changes.</w:t>
      </w:r>
    </w:p>
    <w:p>
      <w:pPr>
        <w:pStyle w:val="ListNumber"/>
      </w:pPr>
      <w:r>
        <w:t>Choose the final MVP country scope and Firebase project name.</w:t>
      </w:r>
    </w:p>
    <w:p>
      <w:pPr>
        <w:pStyle w:val="ListNumber"/>
      </w:pPr>
      <w:r>
        <w:t>Create the GitHub repository for Shop Afrik.</w:t>
      </w:r>
    </w:p>
    <w:p>
      <w:pPr>
        <w:pStyle w:val="ListNumber"/>
      </w:pPr>
      <w:r>
        <w:t>Create the Flutter project and commit the initial scaffold.</w:t>
      </w:r>
    </w:p>
    <w:p>
      <w:pPr>
        <w:pStyle w:val="ListNumber"/>
      </w:pPr>
      <w:r>
        <w:t>Implement theme tokens, routing shell, Firebase setup, and app role structure.</w:t>
      </w:r>
    </w:p>
    <w:p>
      <w:pPr>
        <w:pStyle w:val="ListNumber"/>
      </w:pPr>
      <w:r>
        <w:t>Build backend data model and security rules before UI screens rely on live data.</w:t>
      </w:r>
    </w:p>
    <w:p>
      <w:pPr>
        <w:pStyle w:val="Heading1"/>
      </w:pPr>
      <w:r>
        <w:t>Appendix A: Source Planning Inputs</w:t>
      </w:r>
    </w:p>
    <w:p>
      <w:pPr>
        <w:pStyle w:val="ListBullet"/>
      </w:pPr>
      <w:r>
        <w:t>shop-afrik-complete-spec.curentmd.md</w:t>
      </w:r>
    </w:p>
    <w:p>
      <w:pPr>
        <w:pStyle w:val="ListBullet"/>
      </w:pPr>
      <w:r>
        <w:t>shop-afrik-integration-plan-v3-FINAL.md</w:t>
      </w:r>
    </w:p>
    <w:p>
      <w:pPr>
        <w:pStyle w:val="ListBullet"/>
      </w:pPr>
      <w:r>
        <w:t>shop-afrik-qr-wallet-integration-plan ONE.md.pdf</w:t>
      </w:r>
    </w:p>
    <w:p>
      <w:pPr>
        <w:pStyle w:val="ListBullet"/>
      </w:pPr>
      <w:r>
        <w:t>Shop Afrik visual color reference image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AA4B2"/>
        <w:sz w:val="16"/>
      </w:rPr>
      <w:t>Shop Afrik Project Plan and Technical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63F3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A99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63F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color w:val="1F2933"/>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