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90C3F" w14:textId="77777777" w:rsidR="008F32B1" w:rsidRDefault="008F32B1" w:rsidP="008F32B1">
      <w:pPr>
        <w:pStyle w:val="Heading1"/>
      </w:pPr>
      <w:r>
        <w:t>Terms and conditions</w:t>
      </w:r>
    </w:p>
    <w:p w14:paraId="78A7A932" w14:textId="77777777" w:rsidR="008F32B1" w:rsidRDefault="008F32B1" w:rsidP="008F32B1">
      <w:r>
        <w:t>The information provided by the Roth Analysis tool is for general informational and educational purposes only. As such, it should not be used as a substitute for consultation with professional accounting, tax, legal or other competent advisers.</w:t>
      </w:r>
    </w:p>
    <w:p w14:paraId="5312DAF9" w14:textId="4FE9C229" w:rsidR="008F32B1" w:rsidRDefault="008F32B1" w:rsidP="008F32B1">
      <w:r>
        <w:t xml:space="preserve">This tool </w:t>
      </w:r>
      <w:r w:rsidR="00E771DC">
        <w:t>(</w:t>
      </w:r>
      <w:r>
        <w:t xml:space="preserve">and </w:t>
      </w:r>
      <w:r w:rsidR="00C017BA">
        <w:t>any</w:t>
      </w:r>
      <w:r>
        <w:t xml:space="preserve"> results it generate</w:t>
      </w:r>
      <w:r w:rsidR="00C017BA">
        <w:t>s</w:t>
      </w:r>
      <w:r w:rsidR="00E771DC">
        <w:t>)</w:t>
      </w:r>
      <w:r>
        <w:t xml:space="preserve"> is provided in good faith; however, no warranty of any kind, express or implied, regarding the accuracy, adequacy, validity, reliability, availability, completeness, or security of any information surrounding the use of this tool.</w:t>
      </w:r>
    </w:p>
    <w:p w14:paraId="15676D62" w14:textId="2C86FDA9" w:rsidR="008F32B1" w:rsidRDefault="008F32B1" w:rsidP="008F32B1">
      <w:r>
        <w:t xml:space="preserve">Under no circumstance shall we have any liability to you for any loss or damage of any kind arising out of or in connection with the use of the </w:t>
      </w:r>
      <w:r w:rsidR="00C017BA">
        <w:t>tool</w:t>
      </w:r>
      <w:r>
        <w:t xml:space="preserve"> or </w:t>
      </w:r>
      <w:r w:rsidR="00C017BA">
        <w:t xml:space="preserve">any </w:t>
      </w:r>
      <w:r>
        <w:t xml:space="preserve">reliance on any information provided </w:t>
      </w:r>
      <w:r w:rsidR="00C017BA">
        <w:t>by this</w:t>
      </w:r>
      <w:r>
        <w:t xml:space="preserve"> site. Your use of the </w:t>
      </w:r>
      <w:r w:rsidR="00C017BA">
        <w:t>tool</w:t>
      </w:r>
      <w:r>
        <w:t xml:space="preserve"> and your reliance on any information </w:t>
      </w:r>
      <w:r w:rsidR="00C017BA">
        <w:t>from it</w:t>
      </w:r>
      <w:r>
        <w:t xml:space="preserve"> is solely at your risk.</w:t>
      </w:r>
    </w:p>
    <w:p w14:paraId="6936A92F" w14:textId="77777777" w:rsidR="00B43217" w:rsidRDefault="00B43217">
      <w:pPr>
        <w:rPr>
          <w:rFonts w:asciiTheme="majorHAnsi" w:eastAsiaTheme="majorEastAsia" w:hAnsiTheme="majorHAnsi" w:cstheme="majorBidi"/>
          <w:color w:val="2F5496" w:themeColor="accent1" w:themeShade="BF"/>
          <w:sz w:val="40"/>
          <w:szCs w:val="40"/>
        </w:rPr>
      </w:pPr>
      <w:r>
        <w:br w:type="page"/>
      </w:r>
    </w:p>
    <w:p w14:paraId="3BDC03CC" w14:textId="78D046BD" w:rsidR="001B7EFA" w:rsidRDefault="00B96047" w:rsidP="007831FE">
      <w:pPr>
        <w:pStyle w:val="Heading1"/>
      </w:pPr>
      <w:r>
        <w:lastRenderedPageBreak/>
        <w:t xml:space="preserve">About </w:t>
      </w:r>
      <w:r w:rsidR="003F6223">
        <w:t xml:space="preserve">the </w:t>
      </w:r>
      <w:r>
        <w:t xml:space="preserve">Roth Conversion </w:t>
      </w:r>
      <w:r w:rsidR="003F6223">
        <w:t>Analysis Tool</w:t>
      </w:r>
    </w:p>
    <w:p w14:paraId="028A6F9F" w14:textId="0BB12DC2" w:rsidR="003F6223" w:rsidRDefault="003F6223" w:rsidP="003F6223">
      <w:r>
        <w:t xml:space="preserve">The Roth Conversion Analysis Tool allows a user to enter financial information about themself and optionally their spouse, and up to </w:t>
      </w:r>
      <w:r w:rsidR="005A42EB">
        <w:t>six</w:t>
      </w:r>
      <w:r>
        <w:t xml:space="preserve"> Roth Conversion scenarios. Once done, the user can view and compare projected results for the different Roth Conversion Scenarios.  For example, </w:t>
      </w:r>
    </w:p>
    <w:p w14:paraId="13E8D751" w14:textId="1E2D6C60" w:rsidR="003F6223" w:rsidRDefault="003F6223" w:rsidP="003F6223">
      <w:pPr>
        <w:pStyle w:val="ListParagraph"/>
        <w:numPr>
          <w:ilvl w:val="0"/>
          <w:numId w:val="1"/>
        </w:numPr>
      </w:pPr>
      <w:r>
        <w:t xml:space="preserve">Compare their </w:t>
      </w:r>
      <w:r w:rsidR="00C017BA">
        <w:t>t</w:t>
      </w:r>
      <w:r>
        <w:t>otal assets for each scenario for a given year.</w:t>
      </w:r>
    </w:p>
    <w:p w14:paraId="009C392F" w14:textId="27352A7E" w:rsidR="00C017BA" w:rsidRDefault="00C017BA" w:rsidP="003F6223">
      <w:pPr>
        <w:pStyle w:val="ListParagraph"/>
        <w:numPr>
          <w:ilvl w:val="0"/>
          <w:numId w:val="1"/>
        </w:numPr>
      </w:pPr>
      <w:r>
        <w:t>Compare their projected total value (to your heirs) based on the total remaining Roth IRA, Traditional IRA, and taxable assets. for each scenario for a given year.</w:t>
      </w:r>
    </w:p>
    <w:p w14:paraId="66990CE0" w14:textId="77777777" w:rsidR="003F6223" w:rsidRDefault="003F6223" w:rsidP="003F6223">
      <w:pPr>
        <w:pStyle w:val="ListParagraph"/>
        <w:numPr>
          <w:ilvl w:val="0"/>
          <w:numId w:val="1"/>
        </w:numPr>
      </w:pPr>
      <w:r>
        <w:t>Compare their resulting Roth assets for each scenario for a given year.</w:t>
      </w:r>
    </w:p>
    <w:p w14:paraId="188FE50A" w14:textId="77777777" w:rsidR="003F6223" w:rsidRDefault="003F6223" w:rsidP="003F6223">
      <w:pPr>
        <w:pStyle w:val="ListParagraph"/>
        <w:numPr>
          <w:ilvl w:val="0"/>
          <w:numId w:val="1"/>
        </w:numPr>
      </w:pPr>
      <w:r>
        <w:t>Compare their resulting Traditional IRA assets for each scenario for a given year.</w:t>
      </w:r>
    </w:p>
    <w:p w14:paraId="6352672E" w14:textId="77777777" w:rsidR="003F6223" w:rsidRDefault="003F6223" w:rsidP="003F6223">
      <w:pPr>
        <w:pStyle w:val="ListParagraph"/>
        <w:numPr>
          <w:ilvl w:val="0"/>
          <w:numId w:val="1"/>
        </w:numPr>
      </w:pPr>
      <w:r>
        <w:t>Compare their resulting taxable assets for each scenario for a given year.</w:t>
      </w:r>
    </w:p>
    <w:p w14:paraId="6B4D328A" w14:textId="39F4636C" w:rsidR="003F6223" w:rsidRDefault="003F6223" w:rsidP="003F6223">
      <w:pPr>
        <w:pStyle w:val="ListParagraph"/>
        <w:numPr>
          <w:ilvl w:val="0"/>
          <w:numId w:val="1"/>
        </w:numPr>
      </w:pPr>
      <w:r>
        <w:t>Compare their resulting non-</w:t>
      </w:r>
      <w:r w:rsidR="00C017BA">
        <w:t>I</w:t>
      </w:r>
      <w:r>
        <w:t>RA assets for each scenario for a given year.</w:t>
      </w:r>
    </w:p>
    <w:p w14:paraId="0B98C861" w14:textId="77777777" w:rsidR="003F6223" w:rsidRDefault="003F6223" w:rsidP="003F6223">
      <w:pPr>
        <w:pStyle w:val="ListParagraph"/>
        <w:numPr>
          <w:ilvl w:val="0"/>
          <w:numId w:val="1"/>
        </w:numPr>
      </w:pPr>
      <w:r>
        <w:t>Compare their resulting yearly taxes for each scenario for a given year.</w:t>
      </w:r>
    </w:p>
    <w:p w14:paraId="7F4BE875" w14:textId="77777777" w:rsidR="003F6223" w:rsidRDefault="003F6223" w:rsidP="003F6223">
      <w:pPr>
        <w:pStyle w:val="ListParagraph"/>
        <w:numPr>
          <w:ilvl w:val="0"/>
          <w:numId w:val="1"/>
        </w:numPr>
      </w:pPr>
      <w:r>
        <w:t>Compare their resulting cumulative taxes for each scenario for a given year.</w:t>
      </w:r>
    </w:p>
    <w:p w14:paraId="1E21CBB0" w14:textId="0A64515D" w:rsidR="003F6223" w:rsidRDefault="003F6223" w:rsidP="003F6223">
      <w:r>
        <w:t xml:space="preserve">The overall goal would be for the user to use this information to tune / tweak your Roth Conversion scenarios to </w:t>
      </w:r>
      <w:r w:rsidR="00491B19">
        <w:t>identify a</w:t>
      </w:r>
      <w:r w:rsidR="00C017BA">
        <w:t xml:space="preserve"> more</w:t>
      </w:r>
      <w:r w:rsidR="00491B19">
        <w:t xml:space="preserve"> optimal Roth Conversion strategy </w:t>
      </w:r>
      <w:r w:rsidR="00C017BA">
        <w:t xml:space="preserve">given </w:t>
      </w:r>
      <w:r w:rsidR="00491B19">
        <w:t>their</w:t>
      </w:r>
      <w:r>
        <w:t xml:space="preserve"> specific goals.</w:t>
      </w:r>
    </w:p>
    <w:p w14:paraId="4EDD46B6" w14:textId="77777777" w:rsidR="00FB7FDC" w:rsidRDefault="00FB7FDC" w:rsidP="00FB7FDC">
      <w:pPr>
        <w:pStyle w:val="Heading2"/>
      </w:pPr>
      <w:r>
        <w:t>Tool Limitations</w:t>
      </w:r>
    </w:p>
    <w:p w14:paraId="7B5A6393" w14:textId="33959AFF" w:rsidR="00E771DC" w:rsidRPr="00E771DC" w:rsidRDefault="00E771DC" w:rsidP="00E771DC">
      <w:r>
        <w:t>The author of this tool generated it as a learning project that would also be useful for the author’s particular Roth conversion situation.  That said, depending on your particular situation, it may not be applicable to your planning. The sections below document known tool limitations.</w:t>
      </w:r>
    </w:p>
    <w:p w14:paraId="30760AE4" w14:textId="77777777" w:rsidR="00E771DC" w:rsidRPr="00FB7FDC" w:rsidRDefault="00E771DC" w:rsidP="00E771DC">
      <w:pPr>
        <w:keepNext/>
        <w:rPr>
          <w:b/>
          <w:bCs/>
          <w:u w:val="single"/>
        </w:rPr>
      </w:pPr>
      <w:r w:rsidRPr="00FB7FDC">
        <w:rPr>
          <w:b/>
          <w:bCs/>
          <w:u w:val="single"/>
        </w:rPr>
        <w:t>Married-Filing-Separately</w:t>
      </w:r>
      <w:r>
        <w:rPr>
          <w:b/>
          <w:bCs/>
          <w:u w:val="single"/>
        </w:rPr>
        <w:t xml:space="preserve"> NOT Supported</w:t>
      </w:r>
    </w:p>
    <w:p w14:paraId="3B8CA279" w14:textId="14E810A4" w:rsidR="00E771DC" w:rsidRDefault="00E771DC" w:rsidP="00E771DC">
      <w:r>
        <w:t>The federal filing status of married-filing-separately is currently not supported.  This required a more complex specification of the Roth Scenarios.</w:t>
      </w:r>
    </w:p>
    <w:p w14:paraId="3247364C" w14:textId="2B506610" w:rsidR="00E771DC" w:rsidRPr="00E771DC" w:rsidRDefault="00E771DC" w:rsidP="00E771DC">
      <w:pPr>
        <w:keepNext/>
        <w:rPr>
          <w:b/>
          <w:bCs/>
          <w:u w:val="single"/>
        </w:rPr>
      </w:pPr>
      <w:r w:rsidRPr="00E771DC">
        <w:rPr>
          <w:b/>
          <w:bCs/>
          <w:u w:val="single"/>
        </w:rPr>
        <w:t>Ongoing IRA, 401k, 403b Contributions</w:t>
      </w:r>
    </w:p>
    <w:p w14:paraId="27EE2E92" w14:textId="6712356A" w:rsidR="00E771DC" w:rsidRDefault="00E771DC" w:rsidP="00E771DC">
      <w:r>
        <w:t>There is no way to specify that a portion of your income is used for contributions to any tax advantaged account. This limitation can limit the use of this tool by users that are still working.</w:t>
      </w:r>
    </w:p>
    <w:p w14:paraId="270C3563" w14:textId="0E8FB0D6" w:rsidR="00E771DC" w:rsidRDefault="00E771DC" w:rsidP="00E771DC">
      <w:pPr>
        <w:rPr>
          <w:b/>
          <w:bCs/>
          <w:u w:val="single"/>
        </w:rPr>
      </w:pPr>
      <w:r w:rsidRPr="00E771DC">
        <w:rPr>
          <w:b/>
          <w:bCs/>
          <w:u w:val="single"/>
        </w:rPr>
        <w:t>401k, 403b</w:t>
      </w:r>
      <w:r>
        <w:rPr>
          <w:b/>
          <w:bCs/>
          <w:u w:val="single"/>
        </w:rPr>
        <w:t xml:space="preserve"> Retirement Accounts</w:t>
      </w:r>
    </w:p>
    <w:p w14:paraId="76A510FE" w14:textId="68402A81" w:rsidR="00E771DC" w:rsidRDefault="00E771DC" w:rsidP="00E771DC">
      <w:r w:rsidRPr="00E771DC">
        <w:t xml:space="preserve">These types of accounts </w:t>
      </w:r>
      <w:r>
        <w:t xml:space="preserve">are not explicitly supported but within the configuration </w:t>
      </w:r>
      <w:r w:rsidR="00E6620D">
        <w:t xml:space="preserve">such accounts </w:t>
      </w:r>
      <w:r>
        <w:t>can and should be modeled as Traditional or Roth IRAs</w:t>
      </w:r>
    </w:p>
    <w:p w14:paraId="19EE832B" w14:textId="0D67F49E" w:rsidR="00FB7FDC" w:rsidRPr="00FB7FDC" w:rsidRDefault="00FB7FDC" w:rsidP="006D1BB8">
      <w:pPr>
        <w:keepNext/>
        <w:rPr>
          <w:b/>
          <w:bCs/>
          <w:u w:val="single"/>
        </w:rPr>
      </w:pPr>
      <w:r w:rsidRPr="00FB7FDC">
        <w:rPr>
          <w:b/>
          <w:bCs/>
          <w:u w:val="single"/>
        </w:rPr>
        <w:t>Accuracy</w:t>
      </w:r>
    </w:p>
    <w:p w14:paraId="6E2AD44C" w14:textId="77777777" w:rsidR="00FB7FDC" w:rsidRDefault="00FB7FDC" w:rsidP="00491B19">
      <w:r>
        <w:t>Every effort has been made to provide accurate results, that said, it must be understood that the tool generates estimations and not exact results. For example,</w:t>
      </w:r>
    </w:p>
    <w:p w14:paraId="7C1F52FA" w14:textId="10A1F459" w:rsidR="00FB7FDC" w:rsidRDefault="00FB7FDC" w:rsidP="00FB7FDC">
      <w:pPr>
        <w:pStyle w:val="ListParagraph"/>
        <w:numPr>
          <w:ilvl w:val="0"/>
          <w:numId w:val="3"/>
        </w:numPr>
      </w:pPr>
      <w:r>
        <w:t>Tax rules are only known for a subset of the possible years in the plan, and certainly not for future years.  Instead, the tool performs extrapolations (estimates) for ta</w:t>
      </w:r>
      <w:r w:rsidR="00C017BA">
        <w:t>x</w:t>
      </w:r>
      <w:r>
        <w:t xml:space="preserve">es for this year based on </w:t>
      </w:r>
      <w:r w:rsidR="00C017BA">
        <w:t xml:space="preserve">its knowledge of the </w:t>
      </w:r>
      <w:r>
        <w:t>closest years tax rules.</w:t>
      </w:r>
    </w:p>
    <w:p w14:paraId="58BF4C43" w14:textId="73036420" w:rsidR="00FB7FDC" w:rsidRDefault="00FB7FDC" w:rsidP="00FB7FDC">
      <w:pPr>
        <w:pStyle w:val="ListParagraph"/>
        <w:numPr>
          <w:ilvl w:val="0"/>
          <w:numId w:val="3"/>
        </w:numPr>
      </w:pPr>
      <w:r>
        <w:lastRenderedPageBreak/>
        <w:t xml:space="preserve">The most common tax rules are factored into the estimated but it does not consider may </w:t>
      </w:r>
      <w:r w:rsidR="00C017BA">
        <w:t xml:space="preserve">of the </w:t>
      </w:r>
      <w:r>
        <w:t>more obscure tax rules.</w:t>
      </w:r>
    </w:p>
    <w:p w14:paraId="7D267212" w14:textId="47E1BB02" w:rsidR="00C017BA" w:rsidRDefault="00C017BA" w:rsidP="00FB7FDC">
      <w:pPr>
        <w:pStyle w:val="ListParagraph"/>
        <w:numPr>
          <w:ilvl w:val="0"/>
          <w:numId w:val="3"/>
        </w:numPr>
      </w:pPr>
      <w:r>
        <w:t xml:space="preserve">It allows the specification of account gains but it is unlikely and although the uses estimate may be a good average </w:t>
      </w:r>
      <w:r w:rsidR="007F7EBF">
        <w:t>t</w:t>
      </w:r>
      <w:r>
        <w:t>he</w:t>
      </w:r>
      <w:r w:rsidR="007F7EBF">
        <w:t xml:space="preserve"> probability if any year exactly matching that estimate is near zero.</w:t>
      </w:r>
      <w:r>
        <w:t xml:space="preserve"> </w:t>
      </w:r>
    </w:p>
    <w:p w14:paraId="3DDD8187" w14:textId="77777777" w:rsidR="00FB7FDC" w:rsidRDefault="00FB7FDC" w:rsidP="00FB7FDC">
      <w:pPr>
        <w:pStyle w:val="ListParagraph"/>
        <w:numPr>
          <w:ilvl w:val="0"/>
          <w:numId w:val="3"/>
        </w:numPr>
      </w:pPr>
      <w:r>
        <w:t>Garbage in – garbage out.  The user chooses a lot of the variables that go into the calculations.  The generated results are only as good as these configured variables.</w:t>
      </w:r>
    </w:p>
    <w:p w14:paraId="34DB7AB5" w14:textId="4D4FA660" w:rsidR="00E6620D" w:rsidRPr="00E6620D" w:rsidRDefault="00E6620D" w:rsidP="00E6620D">
      <w:pPr>
        <w:keepNext/>
        <w:rPr>
          <w:b/>
          <w:bCs/>
          <w:u w:val="single"/>
        </w:rPr>
      </w:pPr>
      <w:r w:rsidRPr="00E6620D">
        <w:rPr>
          <w:b/>
          <w:bCs/>
          <w:u w:val="single"/>
        </w:rPr>
        <w:t>Recommending an optimal Roth Conversion</w:t>
      </w:r>
    </w:p>
    <w:p w14:paraId="76E59F58" w14:textId="3256F0CF" w:rsidR="00E6620D" w:rsidRDefault="00E6620D" w:rsidP="00E6620D">
      <w:r>
        <w:t>The tool cannot on its own, find the user’s optimal Roth Conversion strategy. One might think this a cop-out, but the tool simply doesn’t know what the user’s specific optimization goals might be.</w:t>
      </w:r>
    </w:p>
    <w:p w14:paraId="621ED905" w14:textId="31C73DFA" w:rsidR="00E6620D" w:rsidRDefault="00E6620D" w:rsidP="00E6620D">
      <w:pPr>
        <w:pStyle w:val="ListParagraph"/>
        <w:numPr>
          <w:ilvl w:val="0"/>
          <w:numId w:val="2"/>
        </w:numPr>
      </w:pPr>
      <w:r>
        <w:t>Maximize total available assets at some specific year?</w:t>
      </w:r>
    </w:p>
    <w:p w14:paraId="54787DCA" w14:textId="2BD54263" w:rsidR="00E6620D" w:rsidRDefault="00E6620D" w:rsidP="00E6620D">
      <w:pPr>
        <w:pStyle w:val="ListParagraph"/>
        <w:numPr>
          <w:ilvl w:val="0"/>
          <w:numId w:val="2"/>
        </w:numPr>
      </w:pPr>
      <w:r>
        <w:t>Minimize Traditional IRA assets at that year?</w:t>
      </w:r>
    </w:p>
    <w:p w14:paraId="2D7E9A95" w14:textId="71E535B0" w:rsidR="00E6620D" w:rsidRDefault="00E6620D" w:rsidP="00E6620D">
      <w:pPr>
        <w:pStyle w:val="ListParagraph"/>
        <w:numPr>
          <w:ilvl w:val="0"/>
          <w:numId w:val="2"/>
        </w:numPr>
      </w:pPr>
      <w:r>
        <w:t>Maximize Roth IRA assets at that year?</w:t>
      </w:r>
    </w:p>
    <w:p w14:paraId="6CFD04B1" w14:textId="4C175B62" w:rsidR="00E6620D" w:rsidRDefault="00E6620D" w:rsidP="00E6620D">
      <w:pPr>
        <w:pStyle w:val="ListParagraph"/>
        <w:numPr>
          <w:ilvl w:val="0"/>
          <w:numId w:val="2"/>
        </w:numPr>
      </w:pPr>
      <w:r>
        <w:t>Maximize non-IRA assets</w:t>
      </w:r>
      <w:r w:rsidRPr="00E6620D">
        <w:t xml:space="preserve"> </w:t>
      </w:r>
      <w:r>
        <w:t>at that year?</w:t>
      </w:r>
    </w:p>
    <w:p w14:paraId="41A9EDD7" w14:textId="77777777" w:rsidR="00E6620D" w:rsidRDefault="00E6620D" w:rsidP="00E6620D">
      <w:pPr>
        <w:pStyle w:val="ListParagraph"/>
        <w:numPr>
          <w:ilvl w:val="0"/>
          <w:numId w:val="2"/>
        </w:numPr>
      </w:pPr>
      <w:r>
        <w:t>Minimize Cumulative Taxes?</w:t>
      </w:r>
    </w:p>
    <w:p w14:paraId="2F162E64" w14:textId="77777777" w:rsidR="00E6620D" w:rsidRDefault="00E6620D" w:rsidP="00E6620D">
      <w:pPr>
        <w:pStyle w:val="ListParagraph"/>
        <w:numPr>
          <w:ilvl w:val="0"/>
          <w:numId w:val="2"/>
        </w:numPr>
      </w:pPr>
      <w:r>
        <w:t>Some blend of the above?</w:t>
      </w:r>
    </w:p>
    <w:p w14:paraId="00FE91A4" w14:textId="77777777" w:rsidR="00E6620D" w:rsidRDefault="00E6620D" w:rsidP="00E6620D">
      <w:pPr>
        <w:pStyle w:val="ListParagraph"/>
        <w:numPr>
          <w:ilvl w:val="0"/>
          <w:numId w:val="2"/>
        </w:numPr>
      </w:pPr>
      <w:r>
        <w:t>The specific year the user wants to optimize for as it may not be the plan end year.</w:t>
      </w:r>
    </w:p>
    <w:p w14:paraId="49C77344" w14:textId="6D8E4BC8" w:rsidR="00E6620D" w:rsidRPr="006C25FB" w:rsidRDefault="006C25FB" w:rsidP="006C25FB">
      <w:pPr>
        <w:keepNext/>
        <w:rPr>
          <w:b/>
          <w:bCs/>
          <w:u w:val="single"/>
        </w:rPr>
      </w:pPr>
      <w:r w:rsidRPr="006C25FB">
        <w:rPr>
          <w:b/>
          <w:bCs/>
          <w:u w:val="single"/>
        </w:rPr>
        <w:t xml:space="preserve">Conversion Plan is More </w:t>
      </w:r>
      <w:r w:rsidR="006A7A60">
        <w:rPr>
          <w:b/>
          <w:bCs/>
          <w:u w:val="single"/>
        </w:rPr>
        <w:t>of an Initial</w:t>
      </w:r>
      <w:r w:rsidRPr="006C25FB">
        <w:rPr>
          <w:b/>
          <w:bCs/>
          <w:u w:val="single"/>
        </w:rPr>
        <w:t xml:space="preserve"> Guideline</w:t>
      </w:r>
      <w:r w:rsidR="006A7A60">
        <w:rPr>
          <w:b/>
          <w:bCs/>
          <w:u w:val="single"/>
        </w:rPr>
        <w:t xml:space="preserve"> / Goal</w:t>
      </w:r>
    </w:p>
    <w:p w14:paraId="6B6BA291" w14:textId="7AFDE1E7" w:rsidR="006C25FB" w:rsidRDefault="006C25FB" w:rsidP="00E6620D">
      <w:r>
        <w:t>As mentioned above</w:t>
      </w:r>
      <w:r w:rsidR="006A7A60">
        <w:t xml:space="preserve"> regarding accuracy,</w:t>
      </w:r>
      <w:r>
        <w:t xml:space="preserve"> the tool</w:t>
      </w:r>
      <w:r w:rsidR="006A7A60">
        <w:t xml:space="preserve">’s outputs are an estimation and future real-world conditions will </w:t>
      </w:r>
      <w:r w:rsidR="00B43217">
        <w:t xml:space="preserve">likely </w:t>
      </w:r>
      <w:r w:rsidR="006A7A60">
        <w:t xml:space="preserve">be different.  </w:t>
      </w:r>
      <w:r w:rsidR="00B43217">
        <w:t>The tool’s</w:t>
      </w:r>
      <w:r w:rsidR="006A7A60">
        <w:t xml:space="preserve"> estimated Roth conversion in any given future year may need to be adjusted (higher or lower) based on actual conditions in that year, for example: account gains, expenses, tax rules.  Some events may be significant enough as to completely invalidate the plan.</w:t>
      </w:r>
      <w:r w:rsidR="00B43217">
        <w:t xml:space="preserve"> It is the individual’s responsibility to monitor and adjust as needed.</w:t>
      </w:r>
    </w:p>
    <w:p w14:paraId="20EC503A" w14:textId="77777777" w:rsidR="008433FC" w:rsidRDefault="006D1BB8" w:rsidP="008433FC">
      <w:pPr>
        <w:pStyle w:val="Heading1"/>
      </w:pPr>
      <w:r>
        <w:lastRenderedPageBreak/>
        <w:t>U</w:t>
      </w:r>
      <w:r w:rsidR="008433FC">
        <w:t>ser Interface</w:t>
      </w:r>
    </w:p>
    <w:p w14:paraId="24CE7AC4" w14:textId="77777777" w:rsidR="007831FE" w:rsidRDefault="006D1BB8" w:rsidP="007831FE">
      <w:pPr>
        <w:pStyle w:val="Heading2"/>
      </w:pPr>
      <w:r>
        <w:t>Overview</w:t>
      </w:r>
    </w:p>
    <w:p w14:paraId="204885CD" w14:textId="77777777" w:rsidR="00EF6EA1" w:rsidRDefault="00CA1B01" w:rsidP="006D1BB8">
      <w:r w:rsidRPr="00CA1B01">
        <w:rPr>
          <w:noProof/>
        </w:rPr>
        <w:drawing>
          <wp:inline distT="0" distB="0" distL="0" distR="0" wp14:anchorId="764A67C9" wp14:editId="1F7C7458">
            <wp:extent cx="5943600" cy="3515360"/>
            <wp:effectExtent l="0" t="0" r="0" b="2540"/>
            <wp:docPr id="2307001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0137" name=""/>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3515360"/>
                    </a:xfrm>
                    <a:prstGeom prst="rect">
                      <a:avLst/>
                    </a:prstGeom>
                  </pic:spPr>
                </pic:pic>
              </a:graphicData>
            </a:graphic>
          </wp:inline>
        </w:drawing>
      </w:r>
    </w:p>
    <w:p w14:paraId="1941BFB9" w14:textId="77777777" w:rsidR="00EF6EA1" w:rsidRDefault="00EF6EA1" w:rsidP="00EF6EA1">
      <w:pPr>
        <w:pStyle w:val="Heading2"/>
      </w:pPr>
      <w:r>
        <w:t>Configuration Screens</w:t>
      </w:r>
    </w:p>
    <w:p w14:paraId="0A64E32B" w14:textId="77777777" w:rsidR="00EF6EA1" w:rsidRDefault="00B73E0D" w:rsidP="00EF6EA1">
      <w:pPr>
        <w:pStyle w:val="Heading3"/>
      </w:pPr>
      <w:r>
        <w:t xml:space="preserve">Configuration - </w:t>
      </w:r>
      <w:r w:rsidR="00EF6EA1">
        <w:t>Overview</w:t>
      </w:r>
    </w:p>
    <w:p w14:paraId="5B6B9C9F" w14:textId="77777777" w:rsidR="00EF6EA1" w:rsidRPr="00EF6EA1" w:rsidRDefault="00C6438B" w:rsidP="00EF6EA1">
      <w:r w:rsidRPr="00C6438B">
        <w:rPr>
          <w:noProof/>
        </w:rPr>
        <w:drawing>
          <wp:inline distT="0" distB="0" distL="0" distR="0" wp14:anchorId="04882439" wp14:editId="75E2406C">
            <wp:extent cx="5943600" cy="3515360"/>
            <wp:effectExtent l="0" t="0" r="0" b="2540"/>
            <wp:docPr id="1420135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3509"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515360"/>
                    </a:xfrm>
                    <a:prstGeom prst="rect">
                      <a:avLst/>
                    </a:prstGeom>
                  </pic:spPr>
                </pic:pic>
              </a:graphicData>
            </a:graphic>
          </wp:inline>
        </w:drawing>
      </w:r>
    </w:p>
    <w:p w14:paraId="4A645BD9" w14:textId="77777777" w:rsidR="007831FE" w:rsidRDefault="00EF6EA1" w:rsidP="00EF6EA1">
      <w:pPr>
        <w:pStyle w:val="Heading3"/>
      </w:pPr>
      <w:r>
        <w:lastRenderedPageBreak/>
        <w:t xml:space="preserve">Configuration </w:t>
      </w:r>
      <w:r w:rsidR="0079596C">
        <w:t>-</w:t>
      </w:r>
      <w:r>
        <w:t xml:space="preserve"> General</w:t>
      </w:r>
    </w:p>
    <w:p w14:paraId="072476BE" w14:textId="77777777" w:rsidR="00EF6EA1" w:rsidRDefault="00C6438B" w:rsidP="007831FE">
      <w:r w:rsidRPr="00C6438B">
        <w:rPr>
          <w:noProof/>
        </w:rPr>
        <w:drawing>
          <wp:inline distT="0" distB="0" distL="0" distR="0" wp14:anchorId="03CE6566" wp14:editId="2014BEC4">
            <wp:extent cx="5943600" cy="3515360"/>
            <wp:effectExtent l="0" t="0" r="0" b="2540"/>
            <wp:docPr id="738813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130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515360"/>
                    </a:xfrm>
                    <a:prstGeom prst="rect">
                      <a:avLst/>
                    </a:prstGeom>
                  </pic:spPr>
                </pic:pic>
              </a:graphicData>
            </a:graphic>
          </wp:inline>
        </w:drawing>
      </w:r>
    </w:p>
    <w:p w14:paraId="1CEC0183" w14:textId="77777777" w:rsidR="00C6438B" w:rsidRPr="00C6438B" w:rsidRDefault="00C6438B" w:rsidP="00203597">
      <w:pPr>
        <w:pStyle w:val="NoSpacing"/>
        <w:keepNext/>
        <w:rPr>
          <w:b/>
          <w:bCs/>
          <w:u w:val="single"/>
        </w:rPr>
      </w:pPr>
      <w:r w:rsidRPr="00C6438B">
        <w:rPr>
          <w:b/>
          <w:bCs/>
          <w:u w:val="single"/>
        </w:rPr>
        <w:t xml:space="preserve">User </w:t>
      </w:r>
      <w:r w:rsidR="00203597">
        <w:rPr>
          <w:b/>
          <w:bCs/>
          <w:u w:val="single"/>
        </w:rPr>
        <w:t xml:space="preserve">(Self/Spouse) </w:t>
      </w:r>
      <w:r w:rsidRPr="00C6438B">
        <w:rPr>
          <w:b/>
          <w:bCs/>
          <w:u w:val="single"/>
        </w:rPr>
        <w:t>Information</w:t>
      </w:r>
    </w:p>
    <w:p w14:paraId="2502B1B1" w14:textId="77777777" w:rsidR="009C4F1C" w:rsidRDefault="009C4F1C" w:rsidP="009C4F1C">
      <w:pPr>
        <w:pStyle w:val="ListParagraph"/>
        <w:numPr>
          <w:ilvl w:val="0"/>
          <w:numId w:val="7"/>
        </w:numPr>
      </w:pPr>
      <w:r>
        <w:t xml:space="preserve">Self/Spouse Information is mostly self-explanatory. </w:t>
      </w:r>
    </w:p>
    <w:p w14:paraId="7367A87E" w14:textId="77777777" w:rsidR="009C4F1C" w:rsidRDefault="009C4F1C" w:rsidP="009C4F1C">
      <w:pPr>
        <w:pStyle w:val="ListParagraph"/>
        <w:numPr>
          <w:ilvl w:val="1"/>
          <w:numId w:val="7"/>
        </w:numPr>
      </w:pPr>
      <w:r w:rsidRPr="00DE020E">
        <w:rPr>
          <w:rStyle w:val="SubtleReference"/>
        </w:rPr>
        <w:t>Birthdate</w:t>
      </w:r>
      <w:r>
        <w:t xml:space="preserve"> </w:t>
      </w:r>
      <w:r w:rsidR="00203597">
        <w:t>–</w:t>
      </w:r>
      <w:r>
        <w:t xml:space="preserve"> </w:t>
      </w:r>
      <w:r w:rsidR="00203597">
        <w:t xml:space="preserve">FYI: </w:t>
      </w:r>
      <w:r>
        <w:t xml:space="preserve">Only the year and month </w:t>
      </w:r>
      <w:r w:rsidR="00203597">
        <w:t>are</w:t>
      </w:r>
      <w:r>
        <w:t xml:space="preserve"> relevant in the analysis. </w:t>
      </w:r>
    </w:p>
    <w:p w14:paraId="6AB7D7C4" w14:textId="77777777" w:rsidR="009C4F1C" w:rsidRDefault="009C4F1C" w:rsidP="009C4F1C">
      <w:pPr>
        <w:pStyle w:val="ListParagraph"/>
        <w:numPr>
          <w:ilvl w:val="0"/>
          <w:numId w:val="7"/>
        </w:numPr>
      </w:pPr>
      <w:r>
        <w:t>Plan Information</w:t>
      </w:r>
      <w:r w:rsidRPr="009C4F1C">
        <w:t xml:space="preserve"> </w:t>
      </w:r>
      <w:r>
        <w:t>is mostly self-explanatory.</w:t>
      </w:r>
    </w:p>
    <w:p w14:paraId="29DD6CEC" w14:textId="77777777" w:rsidR="009C4F1C" w:rsidRDefault="009C4F1C" w:rsidP="009C4F1C">
      <w:pPr>
        <w:pStyle w:val="ListParagraph"/>
        <w:numPr>
          <w:ilvl w:val="1"/>
          <w:numId w:val="7"/>
        </w:numPr>
      </w:pPr>
      <w:r w:rsidRPr="00DE020E">
        <w:rPr>
          <w:rStyle w:val="SubtleReference"/>
        </w:rPr>
        <w:t>Plan Start Date</w:t>
      </w:r>
      <w:r>
        <w:t xml:space="preserve"> – Generally recommend choosing the first day of the month for the plan start date.</w:t>
      </w:r>
    </w:p>
    <w:p w14:paraId="2EA850BC" w14:textId="77777777" w:rsidR="009C4F1C" w:rsidRDefault="009C4F1C" w:rsidP="009C4F1C">
      <w:pPr>
        <w:pStyle w:val="ListParagraph"/>
        <w:numPr>
          <w:ilvl w:val="1"/>
          <w:numId w:val="7"/>
        </w:numPr>
      </w:pPr>
      <w:r w:rsidRPr="00DE020E">
        <w:rPr>
          <w:rStyle w:val="SubtleReference"/>
        </w:rPr>
        <w:t>Plan End Date</w:t>
      </w:r>
      <w:r>
        <w:t xml:space="preserve"> – Generally recommend choosing the last day of the month for the plan end date.</w:t>
      </w:r>
    </w:p>
    <w:p w14:paraId="0A2DFC37" w14:textId="77777777" w:rsidR="00203597" w:rsidRPr="00203597" w:rsidRDefault="00203597" w:rsidP="00203597">
      <w:pPr>
        <w:pStyle w:val="NoSpacing"/>
        <w:keepNext/>
        <w:rPr>
          <w:b/>
          <w:bCs/>
          <w:u w:val="single"/>
        </w:rPr>
      </w:pPr>
      <w:r w:rsidRPr="00203597">
        <w:rPr>
          <w:b/>
          <w:bCs/>
          <w:u w:val="single"/>
        </w:rPr>
        <w:t>Plan Information</w:t>
      </w:r>
    </w:p>
    <w:p w14:paraId="21317B23" w14:textId="77777777" w:rsidR="009C4F1C" w:rsidRDefault="009C4F1C" w:rsidP="009C4F1C">
      <w:pPr>
        <w:pStyle w:val="ListParagraph"/>
        <w:numPr>
          <w:ilvl w:val="0"/>
          <w:numId w:val="7"/>
        </w:numPr>
      </w:pPr>
      <w:r w:rsidRPr="00DE020E">
        <w:rPr>
          <w:rStyle w:val="SubtleReference"/>
        </w:rPr>
        <w:t>Yearly Expenses</w:t>
      </w:r>
      <w:r>
        <w:t xml:space="preserve"> – estimate of user’s total yearly expenses including any medical expenses.</w:t>
      </w:r>
    </w:p>
    <w:p w14:paraId="024DA730" w14:textId="3487B11B" w:rsidR="009C4F1C" w:rsidRDefault="009C4F1C" w:rsidP="009C4F1C">
      <w:pPr>
        <w:pStyle w:val="ListParagraph"/>
        <w:numPr>
          <w:ilvl w:val="0"/>
          <w:numId w:val="7"/>
        </w:numPr>
      </w:pPr>
      <w:r w:rsidRPr="00DE020E">
        <w:rPr>
          <w:rStyle w:val="SubtleReference"/>
        </w:rPr>
        <w:t>Cost of Living Adjustment</w:t>
      </w:r>
      <w:r>
        <w:t xml:space="preserve"> – </w:t>
      </w:r>
      <w:r w:rsidR="007F7EBF">
        <w:t xml:space="preserve">the </w:t>
      </w:r>
      <w:r>
        <w:t xml:space="preserve">percentage </w:t>
      </w:r>
      <w:r w:rsidR="007F7EBF">
        <w:t xml:space="preserve">is </w:t>
      </w:r>
      <w:r>
        <w:t xml:space="preserve">used to estimate </w:t>
      </w:r>
      <w:r w:rsidR="00C6438B">
        <w:t>future looking information such as</w:t>
      </w:r>
      <w:r>
        <w:t xml:space="preserve"> years expenses, income for a year and to estimate taxes for years where no tax rules exist.</w:t>
      </w:r>
    </w:p>
    <w:p w14:paraId="78139C20" w14:textId="77777777" w:rsidR="007831FE" w:rsidRDefault="00F27365" w:rsidP="007831FE">
      <w:pPr>
        <w:pStyle w:val="Heading3"/>
      </w:pPr>
      <w:r>
        <w:lastRenderedPageBreak/>
        <w:t>Configuration</w:t>
      </w:r>
      <w:r w:rsidR="00EE451F">
        <w:t xml:space="preserve"> - </w:t>
      </w:r>
      <w:r>
        <w:t>T</w:t>
      </w:r>
      <w:r w:rsidR="00C6438B">
        <w:t>ax Filing</w:t>
      </w:r>
    </w:p>
    <w:p w14:paraId="2359609B" w14:textId="77777777" w:rsidR="00C6438B" w:rsidRPr="00C6438B" w:rsidRDefault="00C6438B" w:rsidP="00C6438B">
      <w:r w:rsidRPr="00C6438B">
        <w:rPr>
          <w:noProof/>
        </w:rPr>
        <w:drawing>
          <wp:inline distT="0" distB="0" distL="0" distR="0" wp14:anchorId="56E72E55" wp14:editId="7DE95781">
            <wp:extent cx="5943600" cy="3515360"/>
            <wp:effectExtent l="0" t="0" r="0" b="2540"/>
            <wp:docPr id="21310930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93035"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515360"/>
                    </a:xfrm>
                    <a:prstGeom prst="rect">
                      <a:avLst/>
                    </a:prstGeom>
                  </pic:spPr>
                </pic:pic>
              </a:graphicData>
            </a:graphic>
          </wp:inline>
        </w:drawing>
      </w:r>
    </w:p>
    <w:p w14:paraId="36DBD0C8" w14:textId="77777777" w:rsidR="00203597" w:rsidRPr="00BB525E" w:rsidRDefault="00203597" w:rsidP="00BB525E">
      <w:pPr>
        <w:keepNext/>
        <w:rPr>
          <w:b/>
          <w:bCs/>
          <w:u w:val="single"/>
        </w:rPr>
      </w:pPr>
      <w:r w:rsidRPr="00BB525E">
        <w:rPr>
          <w:b/>
          <w:bCs/>
          <w:u w:val="single"/>
        </w:rPr>
        <w:t>Federal Tax Filing Information</w:t>
      </w:r>
    </w:p>
    <w:tbl>
      <w:tblPr>
        <w:tblStyle w:val="GridTable4-Accent5"/>
        <w:tblW w:w="0" w:type="auto"/>
        <w:tblLook w:val="06A0" w:firstRow="1" w:lastRow="0" w:firstColumn="1" w:lastColumn="0" w:noHBand="1" w:noVBand="1"/>
      </w:tblPr>
      <w:tblGrid>
        <w:gridCol w:w="2785"/>
        <w:gridCol w:w="6480"/>
      </w:tblGrid>
      <w:tr w:rsidR="00BB525E" w14:paraId="2DD4D0A3" w14:textId="77777777" w:rsidTr="00C53A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29E56485" w14:textId="77777777" w:rsidR="00BB525E" w:rsidRDefault="00BB525E" w:rsidP="00C53A9D">
            <w:pPr>
              <w:keepNext/>
            </w:pPr>
            <w:r>
              <w:t>Field Name</w:t>
            </w:r>
          </w:p>
        </w:tc>
        <w:tc>
          <w:tcPr>
            <w:tcW w:w="6480" w:type="dxa"/>
          </w:tcPr>
          <w:p w14:paraId="604E1051" w14:textId="77777777" w:rsidR="00BB525E" w:rsidRDefault="00BB525E" w:rsidP="00C53A9D">
            <w:pPr>
              <w:keepNext/>
              <w:cnfStyle w:val="100000000000" w:firstRow="1" w:lastRow="0" w:firstColumn="0" w:lastColumn="0" w:oddVBand="0" w:evenVBand="0" w:oddHBand="0" w:evenHBand="0" w:firstRowFirstColumn="0" w:firstRowLastColumn="0" w:lastRowFirstColumn="0" w:lastRowLastColumn="0"/>
            </w:pPr>
            <w:r>
              <w:t>Field Description</w:t>
            </w:r>
          </w:p>
        </w:tc>
      </w:tr>
      <w:tr w:rsidR="00BB525E" w14:paraId="7F814564"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5854D58E" w14:textId="77777777" w:rsidR="00BB525E" w:rsidRDefault="00BB525E" w:rsidP="00C53A9D">
            <w:r>
              <w:t>Federal Filing Status</w:t>
            </w:r>
          </w:p>
        </w:tc>
        <w:tc>
          <w:tcPr>
            <w:tcW w:w="6480" w:type="dxa"/>
          </w:tcPr>
          <w:p w14:paraId="49918858" w14:textId="77777777" w:rsidR="00BB525E" w:rsidRDefault="00BB525E" w:rsidP="00BB525E">
            <w:pPr>
              <w:cnfStyle w:val="000000000000" w:firstRow="0" w:lastRow="0" w:firstColumn="0" w:lastColumn="0" w:oddVBand="0" w:evenVBand="0" w:oddHBand="0" w:evenHBand="0" w:firstRowFirstColumn="0" w:firstRowLastColumn="0" w:lastRowFirstColumn="0" w:lastRowLastColumn="0"/>
            </w:pPr>
            <w:r>
              <w:t>Select one of...</w:t>
            </w:r>
          </w:p>
          <w:p w14:paraId="6F28770D" w14:textId="77777777" w:rsidR="00BB525E" w:rsidRDefault="00BB525E" w:rsidP="00BB525E">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Single</w:t>
            </w:r>
          </w:p>
          <w:p w14:paraId="7E6C1AD1" w14:textId="77777777" w:rsidR="00BB525E" w:rsidRDefault="00BB525E" w:rsidP="00BB525E">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Married Filing Jointly</w:t>
            </w:r>
          </w:p>
          <w:p w14:paraId="144DAFC0" w14:textId="77777777" w:rsidR="00BB525E" w:rsidRDefault="00BB525E" w:rsidP="00BB525E">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 xml:space="preserve">Married Filing Separately – </w:t>
            </w:r>
            <w:r w:rsidRPr="00BB525E">
              <w:rPr>
                <w:color w:val="C00000"/>
              </w:rPr>
              <w:t>Currently not supported.</w:t>
            </w:r>
          </w:p>
          <w:p w14:paraId="035C1AEA" w14:textId="77777777" w:rsidR="00BB525E" w:rsidRDefault="00BB525E" w:rsidP="00C53A9D">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Head of Household</w:t>
            </w:r>
          </w:p>
        </w:tc>
      </w:tr>
      <w:tr w:rsidR="00BB525E" w14:paraId="0ECD643F"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1D500AFC" w14:textId="77777777" w:rsidR="00BB525E" w:rsidRDefault="00BB525E" w:rsidP="00C53A9D">
            <w:r>
              <w:t>Use Standard Deduction</w:t>
            </w:r>
          </w:p>
        </w:tc>
        <w:tc>
          <w:tcPr>
            <w:tcW w:w="6480" w:type="dxa"/>
          </w:tcPr>
          <w:p w14:paraId="22C2308D" w14:textId="77777777" w:rsidR="00BB525E" w:rsidRDefault="00BB525E" w:rsidP="00C53A9D">
            <w:pPr>
              <w:cnfStyle w:val="000000000000" w:firstRow="0" w:lastRow="0" w:firstColumn="0" w:lastColumn="0" w:oddVBand="0" w:evenVBand="0" w:oddHBand="0" w:evenHBand="0" w:firstRowFirstColumn="0" w:firstRowLastColumn="0" w:lastRowFirstColumn="0" w:lastRowLastColumn="0"/>
            </w:pPr>
            <w:r w:rsidRPr="00203597">
              <w:rPr>
                <w:color w:val="C00000"/>
              </w:rPr>
              <w:t>Currently the only supported option.</w:t>
            </w:r>
          </w:p>
        </w:tc>
      </w:tr>
    </w:tbl>
    <w:p w14:paraId="788B8240" w14:textId="77777777" w:rsidR="00BB525E" w:rsidRPr="00203597" w:rsidRDefault="00BB525E" w:rsidP="00203597">
      <w:pPr>
        <w:pStyle w:val="NoSpacing"/>
        <w:keepNext/>
        <w:rPr>
          <w:b/>
          <w:bCs/>
          <w:u w:val="single"/>
        </w:rPr>
      </w:pPr>
    </w:p>
    <w:p w14:paraId="1B10C863" w14:textId="77777777" w:rsidR="00203597" w:rsidRPr="00203597" w:rsidRDefault="00203597" w:rsidP="00BB525E">
      <w:pPr>
        <w:keepNext/>
        <w:rPr>
          <w:b/>
          <w:bCs/>
          <w:u w:val="single"/>
        </w:rPr>
      </w:pPr>
      <w:r>
        <w:rPr>
          <w:b/>
          <w:bCs/>
          <w:u w:val="single"/>
        </w:rPr>
        <w:t>State Tax Filing Information</w:t>
      </w:r>
    </w:p>
    <w:tbl>
      <w:tblPr>
        <w:tblStyle w:val="GridTable4-Accent5"/>
        <w:tblW w:w="0" w:type="auto"/>
        <w:tblLook w:val="06A0" w:firstRow="1" w:lastRow="0" w:firstColumn="1" w:lastColumn="0" w:noHBand="1" w:noVBand="1"/>
      </w:tblPr>
      <w:tblGrid>
        <w:gridCol w:w="2785"/>
        <w:gridCol w:w="6480"/>
      </w:tblGrid>
      <w:tr w:rsidR="00BB525E" w14:paraId="04AE0A56" w14:textId="77777777" w:rsidTr="00C53A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6DE45075" w14:textId="77777777" w:rsidR="00BB525E" w:rsidRDefault="00BB525E" w:rsidP="00C53A9D">
            <w:pPr>
              <w:keepNext/>
            </w:pPr>
            <w:r>
              <w:t>Field Name</w:t>
            </w:r>
          </w:p>
        </w:tc>
        <w:tc>
          <w:tcPr>
            <w:tcW w:w="6480" w:type="dxa"/>
          </w:tcPr>
          <w:p w14:paraId="6AEF982E" w14:textId="77777777" w:rsidR="00BB525E" w:rsidRDefault="00BB525E" w:rsidP="00C53A9D">
            <w:pPr>
              <w:keepNext/>
              <w:cnfStyle w:val="100000000000" w:firstRow="1" w:lastRow="0" w:firstColumn="0" w:lastColumn="0" w:oddVBand="0" w:evenVBand="0" w:oddHBand="0" w:evenHBand="0" w:firstRowFirstColumn="0" w:firstRowLastColumn="0" w:lastRowFirstColumn="0" w:lastRowLastColumn="0"/>
            </w:pPr>
            <w:r>
              <w:t>Field Description</w:t>
            </w:r>
          </w:p>
        </w:tc>
      </w:tr>
      <w:tr w:rsidR="00BB525E" w14:paraId="7D6153C6"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23CF2ED4" w14:textId="77777777" w:rsidR="00BB525E" w:rsidRDefault="00BB525E" w:rsidP="00C53A9D">
            <w:r>
              <w:t>Filing State</w:t>
            </w:r>
          </w:p>
        </w:tc>
        <w:tc>
          <w:tcPr>
            <w:tcW w:w="6480" w:type="dxa"/>
          </w:tcPr>
          <w:p w14:paraId="5E444D96" w14:textId="7E15CECF" w:rsidR="00BB525E" w:rsidRDefault="00BB525E" w:rsidP="00BB525E">
            <w:pPr>
              <w:cnfStyle w:val="000000000000" w:firstRow="0" w:lastRow="0" w:firstColumn="0" w:lastColumn="0" w:oddVBand="0" w:evenVBand="0" w:oddHBand="0" w:evenHBand="0" w:firstRowFirstColumn="0" w:firstRowLastColumn="0" w:lastRowFirstColumn="0" w:lastRowLastColumn="0"/>
            </w:pPr>
            <w:r>
              <w:t xml:space="preserve">Currently about a dozen states are supported.  If the user’s state is not supported, </w:t>
            </w:r>
            <w:r w:rsidR="007F7EBF">
              <w:t>the user</w:t>
            </w:r>
            <w:r>
              <w:t xml:space="preserve"> must select </w:t>
            </w:r>
            <w:r w:rsidR="007F7EBF">
              <w:t>“OTHER”</w:t>
            </w:r>
            <w:r>
              <w:t xml:space="preserve"> and configure the three options below that most closely represent their state.</w:t>
            </w:r>
          </w:p>
        </w:tc>
      </w:tr>
      <w:tr w:rsidR="00BB525E" w14:paraId="2A09FDD4"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19D7BC6E" w14:textId="77777777" w:rsidR="00BB525E" w:rsidRDefault="00BB525E" w:rsidP="00C53A9D">
            <w:r>
              <w:t>State Taxing Percentage</w:t>
            </w:r>
          </w:p>
        </w:tc>
        <w:tc>
          <w:tcPr>
            <w:tcW w:w="6480" w:type="dxa"/>
          </w:tcPr>
          <w:p w14:paraId="04649837" w14:textId="77777777" w:rsidR="00BB525E" w:rsidRDefault="00BB525E" w:rsidP="00C53A9D">
            <w:pPr>
              <w:cnfStyle w:val="000000000000" w:firstRow="0" w:lastRow="0" w:firstColumn="0" w:lastColumn="0" w:oddVBand="0" w:evenVBand="0" w:oddHBand="0" w:evenHBand="0" w:firstRowFirstColumn="0" w:firstRowLastColumn="0" w:lastRowFirstColumn="0" w:lastRowLastColumn="0"/>
            </w:pPr>
            <w:r>
              <w:t xml:space="preserve">Choose a value most appropriate for the user’s state. </w:t>
            </w:r>
          </w:p>
          <w:p w14:paraId="223017B3" w14:textId="77777777" w:rsidR="00BB525E" w:rsidRDefault="00BB525E" w:rsidP="00C53A9D">
            <w:pPr>
              <w:cnfStyle w:val="000000000000" w:firstRow="0" w:lastRow="0" w:firstColumn="0" w:lastColumn="0" w:oddVBand="0" w:evenVBand="0" w:oddHBand="0" w:evenHBand="0" w:firstRowFirstColumn="0" w:firstRowLastColumn="0" w:lastRowFirstColumn="0" w:lastRowLastColumn="0"/>
            </w:pPr>
            <w:r>
              <w:t xml:space="preserve">Note: Only shown for a state of “OTHER”.  </w:t>
            </w:r>
          </w:p>
        </w:tc>
      </w:tr>
      <w:tr w:rsidR="00BB525E" w14:paraId="288CD7C4"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5C5B72A6" w14:textId="77777777" w:rsidR="00BB525E" w:rsidRDefault="00BB525E" w:rsidP="00C53A9D">
            <w:r>
              <w:t>Social Security Taxable?</w:t>
            </w:r>
          </w:p>
        </w:tc>
        <w:tc>
          <w:tcPr>
            <w:tcW w:w="6480" w:type="dxa"/>
          </w:tcPr>
          <w:p w14:paraId="3B4A32D5" w14:textId="77777777" w:rsidR="00BB525E" w:rsidRDefault="00BB525E" w:rsidP="00C53A9D">
            <w:pPr>
              <w:cnfStyle w:val="000000000000" w:firstRow="0" w:lastRow="0" w:firstColumn="0" w:lastColumn="0" w:oddVBand="0" w:evenVBand="0" w:oddHBand="0" w:evenHBand="0" w:firstRowFirstColumn="0" w:firstRowLastColumn="0" w:lastRowFirstColumn="0" w:lastRowLastColumn="0"/>
            </w:pPr>
            <w:r>
              <w:t xml:space="preserve">Few / some states tax social security as regular income, if the user’s state is one of these states, they should check this option. </w:t>
            </w:r>
            <w:r>
              <w:br/>
              <w:t>Note: Only shown for a state of “OTHER”.</w:t>
            </w:r>
          </w:p>
        </w:tc>
      </w:tr>
      <w:tr w:rsidR="00BB525E" w14:paraId="17FBD100"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3E3E517F" w14:textId="77777777" w:rsidR="00BB525E" w:rsidRDefault="00BB525E" w:rsidP="00C53A9D">
            <w:r>
              <w:t>Retirement Income Taxable?</w:t>
            </w:r>
          </w:p>
        </w:tc>
        <w:tc>
          <w:tcPr>
            <w:tcW w:w="6480" w:type="dxa"/>
          </w:tcPr>
          <w:p w14:paraId="77C94010" w14:textId="77777777" w:rsidR="00BB525E" w:rsidRDefault="00BB525E" w:rsidP="00C53A9D">
            <w:pPr>
              <w:cnfStyle w:val="000000000000" w:firstRow="0" w:lastRow="0" w:firstColumn="0" w:lastColumn="0" w:oddVBand="0" w:evenVBand="0" w:oddHBand="0" w:evenHBand="0" w:firstRowFirstColumn="0" w:firstRowLastColumn="0" w:lastRowFirstColumn="0" w:lastRowLastColumn="0"/>
            </w:pPr>
            <w:r>
              <w:t xml:space="preserve">Most states tax retirement income such as pensions and Traditional IRA withdraws as regular income but some do not.  If the user’s state is one of the states that do not tax retirement income, they should uncheck this option. </w:t>
            </w:r>
          </w:p>
          <w:p w14:paraId="7EAB9839" w14:textId="77777777" w:rsidR="00BB525E" w:rsidRDefault="00BB525E" w:rsidP="00C53A9D">
            <w:pPr>
              <w:cnfStyle w:val="000000000000" w:firstRow="0" w:lastRow="0" w:firstColumn="0" w:lastColumn="0" w:oddVBand="0" w:evenVBand="0" w:oddHBand="0" w:evenHBand="0" w:firstRowFirstColumn="0" w:firstRowLastColumn="0" w:lastRowFirstColumn="0" w:lastRowLastColumn="0"/>
            </w:pPr>
            <w:r>
              <w:t>Note: Only shown for a state of “OTHER”.</w:t>
            </w:r>
          </w:p>
        </w:tc>
      </w:tr>
    </w:tbl>
    <w:p w14:paraId="328D9E14" w14:textId="77777777" w:rsidR="00FA5EF4" w:rsidRPr="00203597" w:rsidRDefault="00FA5EF4" w:rsidP="00BB525E">
      <w:pPr>
        <w:keepNext/>
        <w:rPr>
          <w:b/>
          <w:bCs/>
          <w:u w:val="single"/>
        </w:rPr>
      </w:pPr>
      <w:r>
        <w:rPr>
          <w:b/>
          <w:bCs/>
          <w:u w:val="single"/>
        </w:rPr>
        <w:lastRenderedPageBreak/>
        <w:t>Local Tax Filing Information</w:t>
      </w:r>
    </w:p>
    <w:tbl>
      <w:tblPr>
        <w:tblStyle w:val="GridTable4-Accent5"/>
        <w:tblW w:w="0" w:type="auto"/>
        <w:tblLook w:val="06A0" w:firstRow="1" w:lastRow="0" w:firstColumn="1" w:lastColumn="0" w:noHBand="1" w:noVBand="1"/>
      </w:tblPr>
      <w:tblGrid>
        <w:gridCol w:w="2785"/>
        <w:gridCol w:w="6480"/>
      </w:tblGrid>
      <w:tr w:rsidR="00BB525E" w14:paraId="0B54A793" w14:textId="77777777" w:rsidTr="00C53A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7DF63E21" w14:textId="77777777" w:rsidR="00BB525E" w:rsidRDefault="00BB525E" w:rsidP="00C53A9D">
            <w:pPr>
              <w:keepNext/>
            </w:pPr>
            <w:r>
              <w:t>Field Name</w:t>
            </w:r>
          </w:p>
        </w:tc>
        <w:tc>
          <w:tcPr>
            <w:tcW w:w="6480" w:type="dxa"/>
          </w:tcPr>
          <w:p w14:paraId="6ABA6229" w14:textId="77777777" w:rsidR="00BB525E" w:rsidRDefault="00BB525E" w:rsidP="00C53A9D">
            <w:pPr>
              <w:keepNext/>
              <w:cnfStyle w:val="100000000000" w:firstRow="1" w:lastRow="0" w:firstColumn="0" w:lastColumn="0" w:oddVBand="0" w:evenVBand="0" w:oddHBand="0" w:evenHBand="0" w:firstRowFirstColumn="0" w:firstRowLastColumn="0" w:lastRowFirstColumn="0" w:lastRowLastColumn="0"/>
            </w:pPr>
            <w:r>
              <w:t>Field Description</w:t>
            </w:r>
          </w:p>
        </w:tc>
      </w:tr>
      <w:tr w:rsidR="00BB525E" w14:paraId="66211F6B"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49AD5C5D" w14:textId="77777777" w:rsidR="00BB525E" w:rsidRDefault="00BB525E" w:rsidP="00C53A9D">
            <w:r>
              <w:t>Local Tax Percentage</w:t>
            </w:r>
          </w:p>
        </w:tc>
        <w:tc>
          <w:tcPr>
            <w:tcW w:w="6480" w:type="dxa"/>
          </w:tcPr>
          <w:p w14:paraId="1ABD2AD6" w14:textId="77777777" w:rsidR="00BB525E" w:rsidRDefault="00BB525E" w:rsidP="00C53A9D">
            <w:pPr>
              <w:cnfStyle w:val="000000000000" w:firstRow="0" w:lastRow="0" w:firstColumn="0" w:lastColumn="0" w:oddVBand="0" w:evenVBand="0" w:oddHBand="0" w:evenHBand="0" w:firstRowFirstColumn="0" w:firstRowLastColumn="0" w:lastRowFirstColumn="0" w:lastRowLastColumn="0"/>
            </w:pPr>
            <w:r>
              <w:t>Some local communities/cities require a local income tax to be collected/paid.  If the user’s state has a local tax, they must set the local taxing rate / percentage and if not, they must set this to 0.00%.</w:t>
            </w:r>
          </w:p>
        </w:tc>
      </w:tr>
    </w:tbl>
    <w:p w14:paraId="1FBF373F" w14:textId="77777777" w:rsidR="00BB525E" w:rsidRPr="00BB525E" w:rsidRDefault="00BB525E" w:rsidP="00BB525E">
      <w:pPr>
        <w:rPr>
          <w:rStyle w:val="SubtleReference"/>
          <w:smallCaps w:val="0"/>
          <w:color w:val="auto"/>
        </w:rPr>
      </w:pPr>
    </w:p>
    <w:p w14:paraId="05B72A88" w14:textId="77777777" w:rsidR="00203597" w:rsidRDefault="00F27365" w:rsidP="00610DA7">
      <w:pPr>
        <w:pStyle w:val="Heading3"/>
      </w:pPr>
      <w:r>
        <w:t xml:space="preserve">Configuration </w:t>
      </w:r>
      <w:r w:rsidR="0079596C">
        <w:t>-</w:t>
      </w:r>
      <w:r>
        <w:t xml:space="preserve"> I</w:t>
      </w:r>
      <w:r w:rsidR="00610DA7">
        <w:t>ncome Source</w:t>
      </w:r>
      <w:r w:rsidR="00F86458">
        <w:t>s</w:t>
      </w:r>
    </w:p>
    <w:p w14:paraId="5EE75130" w14:textId="77777777" w:rsidR="00610DA7" w:rsidRDefault="00610DA7" w:rsidP="00610DA7">
      <w:r w:rsidRPr="00610DA7">
        <w:rPr>
          <w:noProof/>
        </w:rPr>
        <w:drawing>
          <wp:inline distT="0" distB="0" distL="0" distR="0" wp14:anchorId="7BCEEDE4" wp14:editId="4C893199">
            <wp:extent cx="5943600" cy="3515360"/>
            <wp:effectExtent l="0" t="0" r="0" b="2540"/>
            <wp:docPr id="17993760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76003"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515360"/>
                    </a:xfrm>
                    <a:prstGeom prst="rect">
                      <a:avLst/>
                    </a:prstGeom>
                  </pic:spPr>
                </pic:pic>
              </a:graphicData>
            </a:graphic>
          </wp:inline>
        </w:drawing>
      </w:r>
    </w:p>
    <w:p w14:paraId="6B22779A" w14:textId="77777777" w:rsidR="001E509E" w:rsidRDefault="00610DA7" w:rsidP="00610DA7">
      <w:r>
        <w:t xml:space="preserve">Displays and allows modification to all of the income sources in the </w:t>
      </w:r>
      <w:r w:rsidR="001E509E">
        <w:t>plan</w:t>
      </w:r>
      <w:r>
        <w:t>.</w:t>
      </w:r>
      <w:r w:rsidR="001E509E">
        <w:t xml:space="preserve"> Existing items can be moved up, moved down, edited or deleted, i.e., via the buttons on the application bar. Note: That an item can also be edited by double-clicking on it which provides the </w:t>
      </w:r>
      <w:r w:rsidR="003B0D68">
        <w:t>following edit</w:t>
      </w:r>
      <w:r w:rsidR="001E509E">
        <w:t xml:space="preserve"> form…</w:t>
      </w:r>
    </w:p>
    <w:p w14:paraId="24532EA1" w14:textId="77777777" w:rsidR="001E509E" w:rsidRDefault="003B0D68" w:rsidP="00610DA7">
      <w:r w:rsidRPr="003B0D68">
        <w:rPr>
          <w:noProof/>
        </w:rPr>
        <w:drawing>
          <wp:inline distT="0" distB="0" distL="0" distR="0" wp14:anchorId="46409878" wp14:editId="3725FDEC">
            <wp:extent cx="5943600" cy="2098040"/>
            <wp:effectExtent l="0" t="0" r="0" b="0"/>
            <wp:docPr id="81052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23306" name=""/>
                    <pic:cNvPicPr/>
                  </pic:nvPicPr>
                  <pic:blipFill>
                    <a:blip r:embed="rId16"/>
                    <a:stretch>
                      <a:fillRect/>
                    </a:stretch>
                  </pic:blipFill>
                  <pic:spPr>
                    <a:xfrm>
                      <a:off x="0" y="0"/>
                      <a:ext cx="5943600" cy="2098040"/>
                    </a:xfrm>
                    <a:prstGeom prst="rect">
                      <a:avLst/>
                    </a:prstGeom>
                  </pic:spPr>
                </pic:pic>
              </a:graphicData>
            </a:graphic>
          </wp:inline>
        </w:drawing>
      </w:r>
    </w:p>
    <w:tbl>
      <w:tblPr>
        <w:tblStyle w:val="GridTable4-Accent5"/>
        <w:tblW w:w="0" w:type="auto"/>
        <w:tblLook w:val="06A0" w:firstRow="1" w:lastRow="0" w:firstColumn="1" w:lastColumn="0" w:noHBand="1" w:noVBand="1"/>
      </w:tblPr>
      <w:tblGrid>
        <w:gridCol w:w="2785"/>
        <w:gridCol w:w="6480"/>
      </w:tblGrid>
      <w:tr w:rsidR="00CB0AB4" w14:paraId="7CDBE93B" w14:textId="77777777" w:rsidTr="00C53A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2630AEAE" w14:textId="77777777" w:rsidR="00CB0AB4" w:rsidRDefault="00CB0AB4" w:rsidP="00C53A9D">
            <w:pPr>
              <w:keepNext/>
            </w:pPr>
            <w:r>
              <w:t>Field Name</w:t>
            </w:r>
          </w:p>
        </w:tc>
        <w:tc>
          <w:tcPr>
            <w:tcW w:w="6480" w:type="dxa"/>
          </w:tcPr>
          <w:p w14:paraId="34AA1B09" w14:textId="77777777" w:rsidR="00CB0AB4" w:rsidRDefault="00CB0AB4" w:rsidP="00C53A9D">
            <w:pPr>
              <w:keepNext/>
              <w:cnfStyle w:val="100000000000" w:firstRow="1" w:lastRow="0" w:firstColumn="0" w:lastColumn="0" w:oddVBand="0" w:evenVBand="0" w:oddHBand="0" w:evenHBand="0" w:firstRowFirstColumn="0" w:firstRowLastColumn="0" w:lastRowFirstColumn="0" w:lastRowLastColumn="0"/>
            </w:pPr>
            <w:r>
              <w:t>Field Description</w:t>
            </w:r>
          </w:p>
        </w:tc>
      </w:tr>
      <w:tr w:rsidR="00CB0AB4" w14:paraId="6E3B22D3"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1B8F68C8" w14:textId="77777777" w:rsidR="00CB0AB4" w:rsidRDefault="00CB0AB4" w:rsidP="00C53A9D">
            <w:r>
              <w:t>Income Type</w:t>
            </w:r>
          </w:p>
        </w:tc>
        <w:tc>
          <w:tcPr>
            <w:tcW w:w="6480" w:type="dxa"/>
          </w:tcPr>
          <w:p w14:paraId="67B38D28" w14:textId="77777777" w:rsidR="00CB0AB4" w:rsidRDefault="00CB0AB4" w:rsidP="00C53A9D">
            <w:pPr>
              <w:cnfStyle w:val="000000000000" w:firstRow="0" w:lastRow="0" w:firstColumn="0" w:lastColumn="0" w:oddVBand="0" w:evenVBand="0" w:oddHBand="0" w:evenHBand="0" w:firstRowFirstColumn="0" w:firstRowLastColumn="0" w:lastRowFirstColumn="0" w:lastRowLastColumn="0"/>
            </w:pPr>
            <w:r w:rsidRPr="003B0D68">
              <w:t>Select one of: “Employment”, “Self-Employment”, “Social Security”, or “Pension”.</w:t>
            </w:r>
          </w:p>
        </w:tc>
      </w:tr>
      <w:tr w:rsidR="00CB0AB4" w14:paraId="68ABA9A5"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6DB3FD0C" w14:textId="77777777" w:rsidR="00CB0AB4" w:rsidRDefault="00CB0AB4" w:rsidP="00C53A9D">
            <w:r>
              <w:lastRenderedPageBreak/>
              <w:t>Owner</w:t>
            </w:r>
          </w:p>
        </w:tc>
        <w:tc>
          <w:tcPr>
            <w:tcW w:w="6480" w:type="dxa"/>
          </w:tcPr>
          <w:p w14:paraId="2CFFB411" w14:textId="77777777" w:rsidR="00CB0AB4" w:rsidRDefault="00CB0AB4" w:rsidP="00C53A9D">
            <w:pPr>
              <w:cnfStyle w:val="000000000000" w:firstRow="0" w:lastRow="0" w:firstColumn="0" w:lastColumn="0" w:oddVBand="0" w:evenVBand="0" w:oddHBand="0" w:evenHBand="0" w:firstRowFirstColumn="0" w:firstRowLastColumn="0" w:lastRowFirstColumn="0" w:lastRowLastColumn="0"/>
            </w:pPr>
            <w:r w:rsidRPr="003B0D68">
              <w:t>Select one of: “Self”</w:t>
            </w:r>
            <w:r>
              <w:t xml:space="preserve"> or </w:t>
            </w:r>
            <w:r w:rsidRPr="003B0D68">
              <w:t>“Spouse.</w:t>
            </w:r>
          </w:p>
        </w:tc>
      </w:tr>
      <w:tr w:rsidR="00CB0AB4" w14:paraId="37DFF616"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1C9804FF" w14:textId="77777777" w:rsidR="00CB0AB4" w:rsidRDefault="00CB0AB4" w:rsidP="00C53A9D">
            <w:r>
              <w:t>Yearly Income</w:t>
            </w:r>
          </w:p>
        </w:tc>
        <w:tc>
          <w:tcPr>
            <w:tcW w:w="6480" w:type="dxa"/>
          </w:tcPr>
          <w:p w14:paraId="0F046D40" w14:textId="77777777" w:rsidR="00CB0AB4" w:rsidRDefault="00CB0AB4" w:rsidP="00C53A9D">
            <w:pPr>
              <w:cnfStyle w:val="000000000000" w:firstRow="0" w:lastRow="0" w:firstColumn="0" w:lastColumn="0" w:oddVBand="0" w:evenVBand="0" w:oddHBand="0" w:evenHBand="0" w:firstRowFirstColumn="0" w:firstRowLastColumn="0" w:lastRowFirstColumn="0" w:lastRowLastColumn="0"/>
            </w:pPr>
            <w:r w:rsidRPr="003B0D68">
              <w:t>Select expected yearly income for the start year.  Note: This value will be inflated by the cost-of-living rate for each subsequent year.</w:t>
            </w:r>
          </w:p>
        </w:tc>
      </w:tr>
      <w:tr w:rsidR="00CB0AB4" w14:paraId="6EEB2CF3"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25F0688F" w14:textId="77777777" w:rsidR="00CB0AB4" w:rsidRDefault="00CB0AB4" w:rsidP="00C53A9D">
            <w:r>
              <w:t>Start Date</w:t>
            </w:r>
          </w:p>
        </w:tc>
        <w:tc>
          <w:tcPr>
            <w:tcW w:w="6480" w:type="dxa"/>
          </w:tcPr>
          <w:p w14:paraId="12E80321" w14:textId="77777777" w:rsidR="00CB0AB4" w:rsidRDefault="00CB0AB4" w:rsidP="00C53A9D">
            <w:pPr>
              <w:cnfStyle w:val="000000000000" w:firstRow="0" w:lastRow="0" w:firstColumn="0" w:lastColumn="0" w:oddVBand="0" w:evenVBand="0" w:oddHBand="0" w:evenHBand="0" w:firstRowFirstColumn="0" w:firstRowLastColumn="0" w:lastRowFirstColumn="0" w:lastRowLastColumn="0"/>
            </w:pPr>
            <w:r w:rsidRPr="003B0D68">
              <w:t>Select date that the income source will start.</w:t>
            </w:r>
            <w:r>
              <w:t xml:space="preserve">  </w:t>
            </w:r>
            <w:r>
              <w:br/>
              <w:t>Notes:</w:t>
            </w:r>
          </w:p>
          <w:p w14:paraId="69CCBFE9" w14:textId="77777777" w:rsidR="00CB0AB4" w:rsidRDefault="00CB0AB4" w:rsidP="00CB0AB4">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The day of the month is generally ignored.</w:t>
            </w:r>
          </w:p>
        </w:tc>
      </w:tr>
      <w:tr w:rsidR="00CB0AB4" w14:paraId="03D64601"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4F286847" w14:textId="77777777" w:rsidR="00CB0AB4" w:rsidRDefault="00CB0AB4" w:rsidP="00C53A9D">
            <w:r>
              <w:t>Stop Date</w:t>
            </w:r>
          </w:p>
        </w:tc>
        <w:tc>
          <w:tcPr>
            <w:tcW w:w="6480" w:type="dxa"/>
          </w:tcPr>
          <w:p w14:paraId="5C354B53" w14:textId="77777777" w:rsidR="00CB0AB4" w:rsidRDefault="00CB0AB4" w:rsidP="00C53A9D">
            <w:pPr>
              <w:cnfStyle w:val="000000000000" w:firstRow="0" w:lastRow="0" w:firstColumn="0" w:lastColumn="0" w:oddVBand="0" w:evenVBand="0" w:oddHBand="0" w:evenHBand="0" w:firstRowFirstColumn="0" w:firstRowLastColumn="0" w:lastRowFirstColumn="0" w:lastRowLastColumn="0"/>
            </w:pPr>
            <w:r w:rsidRPr="003B0D68">
              <w:t xml:space="preserve">Select date that the income source will </w:t>
            </w:r>
            <w:r>
              <w:t>stop</w:t>
            </w:r>
            <w:r w:rsidRPr="003B0D68">
              <w:t>.</w:t>
            </w:r>
            <w:r>
              <w:t xml:space="preserve"> </w:t>
            </w:r>
          </w:p>
          <w:p w14:paraId="03979FB3" w14:textId="77777777" w:rsidR="00CB0AB4" w:rsidRDefault="00CB0AB4" w:rsidP="00C53A9D">
            <w:pPr>
              <w:cnfStyle w:val="000000000000" w:firstRow="0" w:lastRow="0" w:firstColumn="0" w:lastColumn="0" w:oddVBand="0" w:evenVBand="0" w:oddHBand="0" w:evenHBand="0" w:firstRowFirstColumn="0" w:firstRowLastColumn="0" w:lastRowFirstColumn="0" w:lastRowLastColumn="0"/>
            </w:pPr>
            <w:r>
              <w:t>Notes:</w:t>
            </w:r>
          </w:p>
          <w:p w14:paraId="6AD642C2" w14:textId="77777777" w:rsidR="00CB0AB4" w:rsidRDefault="00CB0AB4" w:rsidP="00CB0AB4">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The day of the month is generally ignored.</w:t>
            </w:r>
          </w:p>
          <w:p w14:paraId="38CBF72D" w14:textId="77777777" w:rsidR="00BB525E" w:rsidRDefault="00BB525E" w:rsidP="00CB0AB4">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Social Security end-date is not configurable and is assumed to be on end of plan.</w:t>
            </w:r>
          </w:p>
        </w:tc>
      </w:tr>
    </w:tbl>
    <w:p w14:paraId="4E4840DF" w14:textId="77777777" w:rsidR="00CB0AB4" w:rsidRDefault="00CB0AB4" w:rsidP="00610DA7"/>
    <w:p w14:paraId="44ED80CE" w14:textId="77777777" w:rsidR="007831FE" w:rsidRDefault="00F27365" w:rsidP="007831FE">
      <w:pPr>
        <w:pStyle w:val="Heading3"/>
      </w:pPr>
      <w:r>
        <w:t xml:space="preserve">Configuration </w:t>
      </w:r>
      <w:r w:rsidR="0079596C">
        <w:t>-</w:t>
      </w:r>
      <w:r w:rsidR="00F86458">
        <w:t xml:space="preserve"> </w:t>
      </w:r>
      <w:r w:rsidR="003B0D68">
        <w:t>Account</w:t>
      </w:r>
      <w:r w:rsidR="00F86458">
        <w:t>s</w:t>
      </w:r>
    </w:p>
    <w:p w14:paraId="667337D9" w14:textId="77777777" w:rsidR="003B0D68" w:rsidRPr="003B0D68" w:rsidRDefault="003B0D68" w:rsidP="003B0D68">
      <w:r w:rsidRPr="003B0D68">
        <w:rPr>
          <w:noProof/>
        </w:rPr>
        <w:drawing>
          <wp:inline distT="0" distB="0" distL="0" distR="0" wp14:anchorId="478B27C4" wp14:editId="40816CA9">
            <wp:extent cx="5943600" cy="3522345"/>
            <wp:effectExtent l="0" t="0" r="0" b="0"/>
            <wp:docPr id="21467052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0526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3522345"/>
                    </a:xfrm>
                    <a:prstGeom prst="rect">
                      <a:avLst/>
                    </a:prstGeom>
                  </pic:spPr>
                </pic:pic>
              </a:graphicData>
            </a:graphic>
          </wp:inline>
        </w:drawing>
      </w:r>
    </w:p>
    <w:p w14:paraId="6D3277F1" w14:textId="77777777" w:rsidR="003B0D68" w:rsidRDefault="003B0D68" w:rsidP="003B0D68">
      <w:r>
        <w:t>Displays and allows modification to all of the investment accounts in the plan. Existing items can be moved up, moved down, edited or deleted, i.e., via the buttons on the application bar. Note: That an item can also be edited by double-clicking on it which provides the following edit form…</w:t>
      </w:r>
    </w:p>
    <w:p w14:paraId="443038E9" w14:textId="77777777" w:rsidR="00DE020E" w:rsidRDefault="00DE020E" w:rsidP="003B0D68">
      <w:r w:rsidRPr="00DE020E">
        <w:rPr>
          <w:noProof/>
        </w:rPr>
        <w:lastRenderedPageBreak/>
        <w:drawing>
          <wp:inline distT="0" distB="0" distL="0" distR="0" wp14:anchorId="40325CCC" wp14:editId="671EC9EF">
            <wp:extent cx="5943600" cy="2583180"/>
            <wp:effectExtent l="0" t="0" r="0" b="0"/>
            <wp:docPr id="69556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61525" name=""/>
                    <pic:cNvPicPr/>
                  </pic:nvPicPr>
                  <pic:blipFill>
                    <a:blip r:embed="rId19"/>
                    <a:stretch>
                      <a:fillRect/>
                    </a:stretch>
                  </pic:blipFill>
                  <pic:spPr>
                    <a:xfrm>
                      <a:off x="0" y="0"/>
                      <a:ext cx="5943600" cy="2583180"/>
                    </a:xfrm>
                    <a:prstGeom prst="rect">
                      <a:avLst/>
                    </a:prstGeom>
                  </pic:spPr>
                </pic:pic>
              </a:graphicData>
            </a:graphic>
          </wp:inline>
        </w:drawing>
      </w:r>
    </w:p>
    <w:tbl>
      <w:tblPr>
        <w:tblStyle w:val="GridTable4-Accent5"/>
        <w:tblW w:w="0" w:type="auto"/>
        <w:tblLook w:val="06A0" w:firstRow="1" w:lastRow="0" w:firstColumn="1" w:lastColumn="0" w:noHBand="1" w:noVBand="1"/>
      </w:tblPr>
      <w:tblGrid>
        <w:gridCol w:w="2785"/>
        <w:gridCol w:w="6480"/>
      </w:tblGrid>
      <w:tr w:rsidR="00CB0AB4" w14:paraId="29D79932" w14:textId="77777777" w:rsidTr="00CB0A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9040CC1" w14:textId="77777777" w:rsidR="00CB0AB4" w:rsidRDefault="00CB0AB4" w:rsidP="00CB0AB4">
            <w:pPr>
              <w:keepNext/>
            </w:pPr>
            <w:r>
              <w:t>Field Name</w:t>
            </w:r>
          </w:p>
        </w:tc>
        <w:tc>
          <w:tcPr>
            <w:tcW w:w="6480" w:type="dxa"/>
          </w:tcPr>
          <w:p w14:paraId="7B69EDE0" w14:textId="77777777" w:rsidR="00CB0AB4" w:rsidRDefault="00CB0AB4" w:rsidP="00CB0AB4">
            <w:pPr>
              <w:keepNext/>
              <w:cnfStyle w:val="100000000000" w:firstRow="1" w:lastRow="0" w:firstColumn="0" w:lastColumn="0" w:oddVBand="0" w:evenVBand="0" w:oddHBand="0" w:evenHBand="0" w:firstRowFirstColumn="0" w:firstRowLastColumn="0" w:lastRowFirstColumn="0" w:lastRowLastColumn="0"/>
            </w:pPr>
            <w:r>
              <w:t>Field Description</w:t>
            </w:r>
          </w:p>
        </w:tc>
      </w:tr>
      <w:tr w:rsidR="00CB0AB4" w14:paraId="1DC0EB58" w14:textId="77777777" w:rsidTr="00CB0AB4">
        <w:tc>
          <w:tcPr>
            <w:cnfStyle w:val="001000000000" w:firstRow="0" w:lastRow="0" w:firstColumn="1" w:lastColumn="0" w:oddVBand="0" w:evenVBand="0" w:oddHBand="0" w:evenHBand="0" w:firstRowFirstColumn="0" w:firstRowLastColumn="0" w:lastRowFirstColumn="0" w:lastRowLastColumn="0"/>
            <w:tcW w:w="2785" w:type="dxa"/>
          </w:tcPr>
          <w:p w14:paraId="4F1CDF84" w14:textId="77777777" w:rsidR="00CB0AB4" w:rsidRDefault="00CB0AB4" w:rsidP="00C53A9D">
            <w:r>
              <w:t>Account Name</w:t>
            </w:r>
          </w:p>
        </w:tc>
        <w:tc>
          <w:tcPr>
            <w:tcW w:w="6480" w:type="dxa"/>
          </w:tcPr>
          <w:p w14:paraId="21B7A851" w14:textId="77777777" w:rsidR="00CB0AB4" w:rsidRDefault="00CB0AB4" w:rsidP="00C53A9D">
            <w:pPr>
              <w:cnfStyle w:val="000000000000" w:firstRow="0" w:lastRow="0" w:firstColumn="0" w:lastColumn="0" w:oddVBand="0" w:evenVBand="0" w:oddHBand="0" w:evenHBand="0" w:firstRowFirstColumn="0" w:firstRowLastColumn="0" w:lastRowFirstColumn="0" w:lastRowLastColumn="0"/>
            </w:pPr>
            <w:r>
              <w:t>Enter a meaningful name for this account</w:t>
            </w:r>
            <w:r w:rsidRPr="003B0D68">
              <w:t>.</w:t>
            </w:r>
            <w:r>
              <w:t xml:space="preserve"> Currently must be 15 characters or less.</w:t>
            </w:r>
          </w:p>
        </w:tc>
      </w:tr>
      <w:tr w:rsidR="00CB0AB4" w14:paraId="6E35E096" w14:textId="77777777" w:rsidTr="00CB0AB4">
        <w:tc>
          <w:tcPr>
            <w:cnfStyle w:val="001000000000" w:firstRow="0" w:lastRow="0" w:firstColumn="1" w:lastColumn="0" w:oddVBand="0" w:evenVBand="0" w:oddHBand="0" w:evenHBand="0" w:firstRowFirstColumn="0" w:firstRowLastColumn="0" w:lastRowFirstColumn="0" w:lastRowLastColumn="0"/>
            <w:tcW w:w="2785" w:type="dxa"/>
          </w:tcPr>
          <w:p w14:paraId="0D114020" w14:textId="77777777" w:rsidR="00CB0AB4" w:rsidRDefault="00CB0AB4" w:rsidP="00C53A9D">
            <w:r>
              <w:t>Account Type</w:t>
            </w:r>
          </w:p>
        </w:tc>
        <w:tc>
          <w:tcPr>
            <w:tcW w:w="6480" w:type="dxa"/>
          </w:tcPr>
          <w:p w14:paraId="69D5C518" w14:textId="77777777" w:rsidR="00D45FEC" w:rsidRDefault="00CB0AB4" w:rsidP="00C53A9D">
            <w:pPr>
              <w:cnfStyle w:val="000000000000" w:firstRow="0" w:lastRow="0" w:firstColumn="0" w:lastColumn="0" w:oddVBand="0" w:evenVBand="0" w:oddHBand="0" w:evenHBand="0" w:firstRowFirstColumn="0" w:firstRowLastColumn="0" w:lastRowFirstColumn="0" w:lastRowLastColumn="0"/>
            </w:pPr>
            <w:r w:rsidRPr="003B0D68">
              <w:t xml:space="preserve">Select one of: </w:t>
            </w:r>
          </w:p>
          <w:p w14:paraId="48F70FC5" w14:textId="77777777" w:rsidR="00D45FEC" w:rsidRDefault="00CB0AB4" w:rsidP="00D45FEC">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rsidRPr="003B0D68">
              <w:t>“</w:t>
            </w:r>
            <w:r>
              <w:t>Savings/CD</w:t>
            </w:r>
            <w:r w:rsidRPr="003B0D68">
              <w:t>”</w:t>
            </w:r>
          </w:p>
          <w:p w14:paraId="4924E18A" w14:textId="77777777" w:rsidR="00D45FEC" w:rsidRDefault="00CB0AB4" w:rsidP="00D45FEC">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rsidRPr="003B0D68">
              <w:t>“</w:t>
            </w:r>
            <w:r>
              <w:t>Brokerage</w:t>
            </w:r>
            <w:r w:rsidRPr="003B0D68">
              <w:t>”</w:t>
            </w:r>
          </w:p>
          <w:p w14:paraId="26ED5755" w14:textId="77777777" w:rsidR="00D45FEC" w:rsidRDefault="00CB0AB4" w:rsidP="00D45FEC">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rsidRPr="003B0D68">
              <w:t>“</w:t>
            </w:r>
            <w:r>
              <w:t>Traditional IRA</w:t>
            </w:r>
            <w:r w:rsidRPr="003B0D68">
              <w:t>”</w:t>
            </w:r>
          </w:p>
          <w:p w14:paraId="7A3C1671" w14:textId="77777777" w:rsidR="00CB0AB4" w:rsidRDefault="00CB0AB4" w:rsidP="00D45FEC">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rsidRPr="003B0D68">
              <w:t>“</w:t>
            </w:r>
            <w:r>
              <w:t>Roth IRA</w:t>
            </w:r>
            <w:r w:rsidRPr="003B0D68">
              <w:t>”.</w:t>
            </w:r>
          </w:p>
        </w:tc>
      </w:tr>
      <w:tr w:rsidR="00CB0AB4" w14:paraId="09CA937A" w14:textId="77777777" w:rsidTr="00CB0AB4">
        <w:tc>
          <w:tcPr>
            <w:cnfStyle w:val="001000000000" w:firstRow="0" w:lastRow="0" w:firstColumn="1" w:lastColumn="0" w:oddVBand="0" w:evenVBand="0" w:oddHBand="0" w:evenHBand="0" w:firstRowFirstColumn="0" w:firstRowLastColumn="0" w:lastRowFirstColumn="0" w:lastRowLastColumn="0"/>
            <w:tcW w:w="2785" w:type="dxa"/>
          </w:tcPr>
          <w:p w14:paraId="23F5DE25" w14:textId="77777777" w:rsidR="00CB0AB4" w:rsidRDefault="00CB0AB4" w:rsidP="00C53A9D">
            <w:r>
              <w:t>Owner</w:t>
            </w:r>
          </w:p>
        </w:tc>
        <w:tc>
          <w:tcPr>
            <w:tcW w:w="6480" w:type="dxa"/>
          </w:tcPr>
          <w:p w14:paraId="2A57EA77" w14:textId="77777777" w:rsidR="00CB0AB4" w:rsidRDefault="00CB0AB4" w:rsidP="00C53A9D">
            <w:pPr>
              <w:cnfStyle w:val="000000000000" w:firstRow="0" w:lastRow="0" w:firstColumn="0" w:lastColumn="0" w:oddVBand="0" w:evenVBand="0" w:oddHBand="0" w:evenHBand="0" w:firstRowFirstColumn="0" w:firstRowLastColumn="0" w:lastRowFirstColumn="0" w:lastRowLastColumn="0"/>
            </w:pPr>
            <w:r w:rsidRPr="003B0D68">
              <w:t>Select one of: “Self”</w:t>
            </w:r>
            <w:r>
              <w:t xml:space="preserve"> or </w:t>
            </w:r>
            <w:r w:rsidRPr="003B0D68">
              <w:t>“Spouse.</w:t>
            </w:r>
          </w:p>
        </w:tc>
      </w:tr>
      <w:tr w:rsidR="00CB0AB4" w14:paraId="148F00DD" w14:textId="77777777" w:rsidTr="00CB0AB4">
        <w:tc>
          <w:tcPr>
            <w:cnfStyle w:val="001000000000" w:firstRow="0" w:lastRow="0" w:firstColumn="1" w:lastColumn="0" w:oddVBand="0" w:evenVBand="0" w:oddHBand="0" w:evenHBand="0" w:firstRowFirstColumn="0" w:firstRowLastColumn="0" w:lastRowFirstColumn="0" w:lastRowLastColumn="0"/>
            <w:tcW w:w="2785" w:type="dxa"/>
          </w:tcPr>
          <w:p w14:paraId="3B88644C" w14:textId="77777777" w:rsidR="00CB0AB4" w:rsidRDefault="00CB0AB4" w:rsidP="00C53A9D">
            <w:r>
              <w:t>Account Balance</w:t>
            </w:r>
          </w:p>
        </w:tc>
        <w:tc>
          <w:tcPr>
            <w:tcW w:w="6480" w:type="dxa"/>
          </w:tcPr>
          <w:p w14:paraId="7A7C7B31" w14:textId="77777777" w:rsidR="00CB0AB4" w:rsidRDefault="00CB0AB4" w:rsidP="00C53A9D">
            <w:pPr>
              <w:cnfStyle w:val="000000000000" w:firstRow="0" w:lastRow="0" w:firstColumn="0" w:lastColumn="0" w:oddVBand="0" w:evenVBand="0" w:oddHBand="0" w:evenHBand="0" w:firstRowFirstColumn="0" w:firstRowLastColumn="0" w:lastRowFirstColumn="0" w:lastRowLastColumn="0"/>
            </w:pPr>
            <w:r>
              <w:t>Account balance at the start of the plan.</w:t>
            </w:r>
          </w:p>
        </w:tc>
      </w:tr>
      <w:tr w:rsidR="00CB0AB4" w14:paraId="2C18DFE3" w14:textId="77777777" w:rsidTr="00CB0AB4">
        <w:tc>
          <w:tcPr>
            <w:cnfStyle w:val="001000000000" w:firstRow="0" w:lastRow="0" w:firstColumn="1" w:lastColumn="0" w:oddVBand="0" w:evenVBand="0" w:oddHBand="0" w:evenHBand="0" w:firstRowFirstColumn="0" w:firstRowLastColumn="0" w:lastRowFirstColumn="0" w:lastRowLastColumn="0"/>
            <w:tcW w:w="2785" w:type="dxa"/>
          </w:tcPr>
          <w:p w14:paraId="4D20CDB7" w14:textId="77777777" w:rsidR="00CB0AB4" w:rsidRDefault="00CB0AB4" w:rsidP="00C53A9D">
            <w:r>
              <w:t>Cost Basis</w:t>
            </w:r>
          </w:p>
        </w:tc>
        <w:tc>
          <w:tcPr>
            <w:tcW w:w="6480" w:type="dxa"/>
          </w:tcPr>
          <w:p w14:paraId="7E80BE7E" w14:textId="77777777" w:rsidR="00CB0AB4" w:rsidRDefault="00CB0AB4" w:rsidP="00C53A9D">
            <w:pPr>
              <w:cnfStyle w:val="000000000000" w:firstRow="0" w:lastRow="0" w:firstColumn="0" w:lastColumn="0" w:oddVBand="0" w:evenVBand="0" w:oddHBand="0" w:evenHBand="0" w:firstRowFirstColumn="0" w:firstRowLastColumn="0" w:lastRowFirstColumn="0" w:lastRowLastColumn="0"/>
            </w:pPr>
            <w:r w:rsidRPr="00CB0AB4">
              <w:t>The amount of the balance that represents the cost basis. Only valid for accounts of type “Brokerage”.  If unsure, enter the same value as on Account Balance.</w:t>
            </w:r>
          </w:p>
        </w:tc>
      </w:tr>
      <w:tr w:rsidR="00CB0AB4" w14:paraId="1D07A77A" w14:textId="77777777" w:rsidTr="00CB0AB4">
        <w:tc>
          <w:tcPr>
            <w:cnfStyle w:val="001000000000" w:firstRow="0" w:lastRow="0" w:firstColumn="1" w:lastColumn="0" w:oddVBand="0" w:evenVBand="0" w:oddHBand="0" w:evenHBand="0" w:firstRowFirstColumn="0" w:firstRowLastColumn="0" w:lastRowFirstColumn="0" w:lastRowLastColumn="0"/>
            <w:tcW w:w="2785" w:type="dxa"/>
          </w:tcPr>
          <w:p w14:paraId="5151C189" w14:textId="77777777" w:rsidR="00CB0AB4" w:rsidRDefault="00CB0AB4" w:rsidP="00C53A9D">
            <w:r>
              <w:t>Yearly Gain Percentage</w:t>
            </w:r>
          </w:p>
        </w:tc>
        <w:tc>
          <w:tcPr>
            <w:tcW w:w="6480" w:type="dxa"/>
          </w:tcPr>
          <w:p w14:paraId="487A75D7" w14:textId="77777777" w:rsidR="00CB0AB4" w:rsidRDefault="00CB0AB4" w:rsidP="00C53A9D">
            <w:pPr>
              <w:cnfStyle w:val="000000000000" w:firstRow="0" w:lastRow="0" w:firstColumn="0" w:lastColumn="0" w:oddVBand="0" w:evenVBand="0" w:oddHBand="0" w:evenHBand="0" w:firstRowFirstColumn="0" w:firstRowLastColumn="0" w:lastRowFirstColumn="0" w:lastRowLastColumn="0"/>
            </w:pPr>
            <w:r>
              <w:t>The yearly increase in account value due to price gains.</w:t>
            </w:r>
          </w:p>
        </w:tc>
      </w:tr>
      <w:tr w:rsidR="00CB0AB4" w14:paraId="4F4401E2" w14:textId="77777777" w:rsidTr="00CB0AB4">
        <w:tc>
          <w:tcPr>
            <w:cnfStyle w:val="001000000000" w:firstRow="0" w:lastRow="0" w:firstColumn="1" w:lastColumn="0" w:oddVBand="0" w:evenVBand="0" w:oddHBand="0" w:evenHBand="0" w:firstRowFirstColumn="0" w:firstRowLastColumn="0" w:lastRowFirstColumn="0" w:lastRowLastColumn="0"/>
            <w:tcW w:w="2785" w:type="dxa"/>
          </w:tcPr>
          <w:p w14:paraId="49B0BC26" w14:textId="77777777" w:rsidR="00CB0AB4" w:rsidRDefault="00CB0AB4" w:rsidP="00C53A9D">
            <w:r>
              <w:t>Yearly Income Percentage</w:t>
            </w:r>
          </w:p>
        </w:tc>
        <w:tc>
          <w:tcPr>
            <w:tcW w:w="6480" w:type="dxa"/>
          </w:tcPr>
          <w:p w14:paraId="1C2EECED" w14:textId="77777777" w:rsidR="00CB0AB4" w:rsidRDefault="00CB0AB4" w:rsidP="00C53A9D">
            <w:pPr>
              <w:cnfStyle w:val="000000000000" w:firstRow="0" w:lastRow="0" w:firstColumn="0" w:lastColumn="0" w:oddVBand="0" w:evenVBand="0" w:oddHBand="0" w:evenHBand="0" w:firstRowFirstColumn="0" w:firstRowLastColumn="0" w:lastRowFirstColumn="0" w:lastRowLastColumn="0"/>
            </w:pPr>
            <w:r>
              <w:t>The yearly increase in account value due to interest and dividends. Only valid for accounts of type “Brokerage”.  If unsure, enter 0% and use Yearly Price Gains as a Total Gain amount.</w:t>
            </w:r>
          </w:p>
        </w:tc>
      </w:tr>
    </w:tbl>
    <w:p w14:paraId="1D385369" w14:textId="77777777" w:rsidR="00BB525E" w:rsidRDefault="00063999" w:rsidP="00BB525E">
      <w:pPr>
        <w:pStyle w:val="NoSpacing"/>
      </w:pPr>
      <w:r>
        <w:t>Note</w:t>
      </w:r>
      <w:r w:rsidR="00BB525E">
        <w:t>s</w:t>
      </w:r>
      <w:r>
        <w:t>:</w:t>
      </w:r>
    </w:p>
    <w:p w14:paraId="14E4AC34" w14:textId="77777777" w:rsidR="00DE020E" w:rsidRDefault="00063999" w:rsidP="00BB525E">
      <w:pPr>
        <w:pStyle w:val="ListParagraph"/>
        <w:numPr>
          <w:ilvl w:val="0"/>
          <w:numId w:val="15"/>
        </w:numPr>
      </w:pPr>
      <w:r>
        <w:t xml:space="preserve">The rationale for the additional modeling in accounts of type “Brokerage”, i.e., </w:t>
      </w:r>
      <w:r w:rsidR="00D71520">
        <w:t>“</w:t>
      </w:r>
      <w:r>
        <w:t>Cost Basis</w:t>
      </w:r>
      <w:r w:rsidR="00D71520">
        <w:t>”</w:t>
      </w:r>
      <w:r>
        <w:t xml:space="preserve"> and </w:t>
      </w:r>
      <w:r w:rsidR="00D71520">
        <w:t>“</w:t>
      </w:r>
      <w:r>
        <w:t>Yearly Income Percentage</w:t>
      </w:r>
      <w:r w:rsidR="00D71520">
        <w:t>”</w:t>
      </w:r>
      <w:r>
        <w:t xml:space="preserve"> is to allow for improved federal tax accuracy with respect to handling of capital gains when assets must be removed from the brokerage account.</w:t>
      </w:r>
    </w:p>
    <w:p w14:paraId="23AEFE31" w14:textId="77777777" w:rsidR="00BB525E" w:rsidRDefault="00DA3FB0" w:rsidP="00BB525E">
      <w:pPr>
        <w:pStyle w:val="ListParagraph"/>
        <w:numPr>
          <w:ilvl w:val="0"/>
          <w:numId w:val="15"/>
        </w:numPr>
      </w:pPr>
      <w:r>
        <w:t>Should there be more than on account of a particular account type, the analysis algorithm chooses them in the order found in the list of account types. Though exceptions exist.</w:t>
      </w:r>
    </w:p>
    <w:p w14:paraId="0B5A533A" w14:textId="77777777" w:rsidR="00D71520" w:rsidRDefault="00D71520" w:rsidP="00BB525E">
      <w:pPr>
        <w:pStyle w:val="ListParagraph"/>
        <w:numPr>
          <w:ilvl w:val="0"/>
          <w:numId w:val="15"/>
        </w:numPr>
      </w:pPr>
      <w:r>
        <w:t xml:space="preserve">For the analysis to operate there are some </w:t>
      </w:r>
      <w:r w:rsidR="00DA3FB0">
        <w:t>investment</w:t>
      </w:r>
      <w:r>
        <w:t xml:space="preserve"> account requirements.</w:t>
      </w:r>
    </w:p>
    <w:p w14:paraId="23379F1B" w14:textId="77777777" w:rsidR="00D71520" w:rsidRDefault="00D71520" w:rsidP="00D71520">
      <w:pPr>
        <w:pStyle w:val="ListParagraph"/>
        <w:numPr>
          <w:ilvl w:val="0"/>
          <w:numId w:val="9"/>
        </w:numPr>
      </w:pPr>
      <w:r>
        <w:t xml:space="preserve">There must be at least one </w:t>
      </w:r>
      <w:r w:rsidR="00DA3FB0">
        <w:t>Savings/CD account that gets used in the analysis as a form of checking account.</w:t>
      </w:r>
    </w:p>
    <w:p w14:paraId="27DF89C7" w14:textId="77777777" w:rsidR="00DA3FB0" w:rsidRDefault="00DA3FB0" w:rsidP="00D71520">
      <w:pPr>
        <w:pStyle w:val="ListParagraph"/>
        <w:numPr>
          <w:ilvl w:val="0"/>
          <w:numId w:val="9"/>
        </w:numPr>
      </w:pPr>
      <w:r>
        <w:t>There must be at least one Traditional IRA account, i.e., to convert from.</w:t>
      </w:r>
    </w:p>
    <w:p w14:paraId="45B56F42" w14:textId="77777777" w:rsidR="00DA3FB0" w:rsidRDefault="00DA3FB0" w:rsidP="00D71520">
      <w:pPr>
        <w:pStyle w:val="ListParagraph"/>
        <w:numPr>
          <w:ilvl w:val="0"/>
          <w:numId w:val="9"/>
        </w:numPr>
      </w:pPr>
      <w:r>
        <w:t>There must be at least one Roth IRA account, i.e., to convert into.</w:t>
      </w:r>
    </w:p>
    <w:p w14:paraId="5C7A1A41" w14:textId="77777777" w:rsidR="00D71520" w:rsidRDefault="00D71520" w:rsidP="003B0D68"/>
    <w:p w14:paraId="534E234D" w14:textId="77777777" w:rsidR="007831FE" w:rsidRDefault="00F27365" w:rsidP="007831FE">
      <w:pPr>
        <w:pStyle w:val="Heading3"/>
      </w:pPr>
      <w:r>
        <w:t xml:space="preserve">Configuration </w:t>
      </w:r>
      <w:r w:rsidR="0079596C">
        <w:t>-</w:t>
      </w:r>
      <w:r>
        <w:t xml:space="preserve"> Scenario</w:t>
      </w:r>
      <w:r w:rsidR="00F86458">
        <w:t>s</w:t>
      </w:r>
    </w:p>
    <w:p w14:paraId="77AD2C31" w14:textId="77777777" w:rsidR="00D71520" w:rsidRDefault="00D71520" w:rsidP="007831FE">
      <w:pPr>
        <w:pStyle w:val="Heading3"/>
      </w:pPr>
      <w:r w:rsidRPr="00D71520">
        <w:rPr>
          <w:rFonts w:eastAsiaTheme="minorHAnsi" w:cstheme="minorBidi"/>
          <w:noProof/>
          <w:color w:val="auto"/>
          <w:sz w:val="24"/>
          <w:szCs w:val="24"/>
        </w:rPr>
        <w:drawing>
          <wp:inline distT="0" distB="0" distL="0" distR="0" wp14:anchorId="2335CF23" wp14:editId="6258281C">
            <wp:extent cx="5943600" cy="3515360"/>
            <wp:effectExtent l="0" t="0" r="0" b="2540"/>
            <wp:docPr id="429897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9744"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943600" cy="3515360"/>
                    </a:xfrm>
                    <a:prstGeom prst="rect">
                      <a:avLst/>
                    </a:prstGeom>
                  </pic:spPr>
                </pic:pic>
              </a:graphicData>
            </a:graphic>
          </wp:inline>
        </w:drawing>
      </w:r>
    </w:p>
    <w:p w14:paraId="4985513B" w14:textId="77777777" w:rsidR="00D71520" w:rsidRDefault="00D71520" w:rsidP="00D71520">
      <w:r>
        <w:t>Displays and allows modification to all of the investment accounts in the plan. Existing items can be moved up, moved down, edited or deleted, i.e., via the buttons on the application bar. Note: That an item can also be edited by double-clicking on it which provides the following edit form…</w:t>
      </w:r>
    </w:p>
    <w:p w14:paraId="1A8A20D3" w14:textId="77777777" w:rsidR="00EF1C6E" w:rsidRDefault="00EF1C6E" w:rsidP="00D71520">
      <w:r w:rsidRPr="00EF1C6E">
        <w:rPr>
          <w:noProof/>
        </w:rPr>
        <w:drawing>
          <wp:inline distT="0" distB="0" distL="0" distR="0" wp14:anchorId="6B07B56D" wp14:editId="21C80F16">
            <wp:extent cx="5943600" cy="3928745"/>
            <wp:effectExtent l="0" t="0" r="0" b="0"/>
            <wp:docPr id="197276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67311" name=""/>
                    <pic:cNvPicPr/>
                  </pic:nvPicPr>
                  <pic:blipFill>
                    <a:blip r:embed="rId22"/>
                    <a:stretch>
                      <a:fillRect/>
                    </a:stretch>
                  </pic:blipFill>
                  <pic:spPr>
                    <a:xfrm>
                      <a:off x="0" y="0"/>
                      <a:ext cx="5943600" cy="3928745"/>
                    </a:xfrm>
                    <a:prstGeom prst="rect">
                      <a:avLst/>
                    </a:prstGeom>
                  </pic:spPr>
                </pic:pic>
              </a:graphicData>
            </a:graphic>
          </wp:inline>
        </w:drawing>
      </w:r>
    </w:p>
    <w:tbl>
      <w:tblPr>
        <w:tblStyle w:val="GridTable4-Accent5"/>
        <w:tblW w:w="0" w:type="auto"/>
        <w:tblLook w:val="06A0" w:firstRow="1" w:lastRow="0" w:firstColumn="1" w:lastColumn="0" w:noHBand="1" w:noVBand="1"/>
      </w:tblPr>
      <w:tblGrid>
        <w:gridCol w:w="2785"/>
        <w:gridCol w:w="6480"/>
      </w:tblGrid>
      <w:tr w:rsidR="00BB525E" w14:paraId="6E5B29DC" w14:textId="77777777" w:rsidTr="00C53A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019F0B4" w14:textId="77777777" w:rsidR="00BB525E" w:rsidRDefault="00BB525E" w:rsidP="00C53A9D">
            <w:pPr>
              <w:keepNext/>
            </w:pPr>
            <w:r>
              <w:lastRenderedPageBreak/>
              <w:t>Field Name</w:t>
            </w:r>
          </w:p>
        </w:tc>
        <w:tc>
          <w:tcPr>
            <w:tcW w:w="6480" w:type="dxa"/>
          </w:tcPr>
          <w:p w14:paraId="3E34101E" w14:textId="77777777" w:rsidR="00BB525E" w:rsidRDefault="00BB525E" w:rsidP="00C53A9D">
            <w:pPr>
              <w:keepNext/>
              <w:cnfStyle w:val="100000000000" w:firstRow="1" w:lastRow="0" w:firstColumn="0" w:lastColumn="0" w:oddVBand="0" w:evenVBand="0" w:oddHBand="0" w:evenHBand="0" w:firstRowFirstColumn="0" w:firstRowLastColumn="0" w:lastRowFirstColumn="0" w:lastRowLastColumn="0"/>
            </w:pPr>
            <w:r>
              <w:t>Field Description</w:t>
            </w:r>
          </w:p>
        </w:tc>
      </w:tr>
      <w:tr w:rsidR="00BB525E" w14:paraId="570B4234"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3A61CA65" w14:textId="77777777" w:rsidR="00BB525E" w:rsidRDefault="00BB525E" w:rsidP="00C53A9D">
            <w:r>
              <w:t>Scenario Name</w:t>
            </w:r>
          </w:p>
        </w:tc>
        <w:tc>
          <w:tcPr>
            <w:tcW w:w="6480" w:type="dxa"/>
          </w:tcPr>
          <w:p w14:paraId="549E46B4" w14:textId="77777777" w:rsidR="00BB525E" w:rsidRDefault="00BB525E" w:rsidP="00C53A9D">
            <w:pPr>
              <w:cnfStyle w:val="000000000000" w:firstRow="0" w:lastRow="0" w:firstColumn="0" w:lastColumn="0" w:oddVBand="0" w:evenVBand="0" w:oddHBand="0" w:evenHBand="0" w:firstRowFirstColumn="0" w:firstRowLastColumn="0" w:lastRowFirstColumn="0" w:lastRowLastColumn="0"/>
            </w:pPr>
            <w:r>
              <w:t>Enter a meaningful name for this scenario</w:t>
            </w:r>
            <w:r w:rsidRPr="003B0D68">
              <w:t>.</w:t>
            </w:r>
            <w:r>
              <w:t xml:space="preserve"> Currently must be 15 characters or less.</w:t>
            </w:r>
          </w:p>
        </w:tc>
      </w:tr>
      <w:tr w:rsidR="00BB525E" w14:paraId="06DCAC64"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65F7A46C" w14:textId="77777777" w:rsidR="00BB525E" w:rsidRDefault="00BB525E" w:rsidP="00C53A9D">
            <w:r>
              <w:t>Plot Color</w:t>
            </w:r>
          </w:p>
        </w:tc>
        <w:tc>
          <w:tcPr>
            <w:tcW w:w="6480" w:type="dxa"/>
          </w:tcPr>
          <w:p w14:paraId="686BB3C6" w14:textId="19CF4A22" w:rsidR="00BB525E" w:rsidRPr="003B0D68" w:rsidRDefault="00D91AF4" w:rsidP="00C53A9D">
            <w:pPr>
              <w:cnfStyle w:val="000000000000" w:firstRow="0" w:lastRow="0" w:firstColumn="0" w:lastColumn="0" w:oddVBand="0" w:evenVBand="0" w:oddHBand="0" w:evenHBand="0" w:firstRowFirstColumn="0" w:firstRowLastColumn="0" w:lastRowFirstColumn="0" w:lastRowLastColumn="0"/>
            </w:pPr>
            <w:r>
              <w:t>Select</w:t>
            </w:r>
            <w:r w:rsidR="00BB525E">
              <w:t xml:space="preserve"> from one </w:t>
            </w:r>
            <w:r>
              <w:t>of</w:t>
            </w:r>
            <w:r w:rsidR="00BB525E">
              <w:t xml:space="preserve"> five possible colors</w:t>
            </w:r>
            <w:r>
              <w:t>. The chosen color will be used to represent the scenario in the Graphical result, i.e., to visually separate it from the other scenarios.</w:t>
            </w:r>
            <w:r w:rsidR="00B01AAA">
              <w:t xml:space="preserve"> The user should choose a different color for each scenario.</w:t>
            </w:r>
          </w:p>
        </w:tc>
      </w:tr>
      <w:tr w:rsidR="00BB525E" w14:paraId="3A633DFA"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5ACE3CA9" w14:textId="77777777" w:rsidR="00BB525E" w:rsidRDefault="00D91AF4" w:rsidP="00C53A9D">
            <w:r>
              <w:t>Amount Constraint Type</w:t>
            </w:r>
          </w:p>
        </w:tc>
        <w:tc>
          <w:tcPr>
            <w:tcW w:w="6480" w:type="dxa"/>
          </w:tcPr>
          <w:p w14:paraId="34FA1269" w14:textId="77777777" w:rsidR="00D91AF4" w:rsidRDefault="00D91AF4" w:rsidP="00D91AF4">
            <w:pPr>
              <w:cnfStyle w:val="000000000000" w:firstRow="0" w:lastRow="0" w:firstColumn="0" w:lastColumn="0" w:oddVBand="0" w:evenVBand="0" w:oddHBand="0" w:evenHBand="0" w:firstRowFirstColumn="0" w:firstRowLastColumn="0" w:lastRowFirstColumn="0" w:lastRowLastColumn="0"/>
            </w:pPr>
            <w:r>
              <w:t xml:space="preserve">Select one of: </w:t>
            </w:r>
          </w:p>
          <w:p w14:paraId="78A11903" w14:textId="77777777" w:rsidR="00D91AF4" w:rsidRDefault="00D91AF4" w:rsidP="00D91AF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“Fixed Amount” – Identifies a fixed Roth Conversion dollar amount to perform for the timeframe the scenario is valid for.</w:t>
            </w:r>
          </w:p>
          <w:p w14:paraId="5749843F" w14:textId="405BB8FE" w:rsidR="00BB525E" w:rsidRDefault="00D91AF4" w:rsidP="00D91AF4">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“MAGI Limited” – Identifies a MAGI limit that must not be exceeded.  The analysis increases or decreases the yearly Roth Conversion amount to be close to, but less than, the MAGI limit.  The user for example can choose a MAG</w:t>
            </w:r>
            <w:r w:rsidR="00B01AAA">
              <w:t>I</w:t>
            </w:r>
            <w:r>
              <w:t xml:space="preserve"> limit that ensures they stay within a certain tax bracket.</w:t>
            </w:r>
            <w:r>
              <w:br/>
              <w:t>Note: This value is increased yearly based on the configured cost-of-living.</w:t>
            </w:r>
          </w:p>
        </w:tc>
      </w:tr>
      <w:tr w:rsidR="00BB525E" w14:paraId="024DC6DF"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0C4D788A" w14:textId="77777777" w:rsidR="00BB525E" w:rsidRDefault="00D91AF4" w:rsidP="00C53A9D">
            <w:r>
              <w:t>Start Date Constraint Type</w:t>
            </w:r>
          </w:p>
        </w:tc>
        <w:tc>
          <w:tcPr>
            <w:tcW w:w="6480" w:type="dxa"/>
          </w:tcPr>
          <w:p w14:paraId="1315FC02" w14:textId="77777777" w:rsidR="00D91AF4" w:rsidRDefault="00D91AF4" w:rsidP="00C53A9D">
            <w:pPr>
              <w:cnfStyle w:val="000000000000" w:firstRow="0" w:lastRow="0" w:firstColumn="0" w:lastColumn="0" w:oddVBand="0" w:evenVBand="0" w:oddHBand="0" w:evenHBand="0" w:firstRowFirstColumn="0" w:firstRowLastColumn="0" w:lastRowFirstColumn="0" w:lastRowLastColumn="0"/>
            </w:pPr>
            <w:r w:rsidRPr="003B0D68">
              <w:t xml:space="preserve">Select one of: </w:t>
            </w:r>
          </w:p>
          <w:p w14:paraId="4D71A334" w14:textId="77777777" w:rsidR="00D91AF4" w:rsidRDefault="00D91AF4" w:rsidP="00D91AF4">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rsidRPr="003B0D68">
              <w:t>“</w:t>
            </w:r>
            <w:r>
              <w:t>On Start of Plan</w:t>
            </w:r>
            <w:r w:rsidRPr="003B0D68">
              <w:t>”</w:t>
            </w:r>
          </w:p>
          <w:p w14:paraId="1B8EF0DD" w14:textId="77777777" w:rsidR="00D45FEC" w:rsidRDefault="00D91AF4" w:rsidP="00D91AF4">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rsidRPr="003B0D68">
              <w:t>“</w:t>
            </w:r>
            <w:r>
              <w:t>On Fixed Date”.</w:t>
            </w:r>
          </w:p>
          <w:p w14:paraId="55BB0222" w14:textId="19D4BC6C" w:rsidR="00BB525E" w:rsidRDefault="00D91AF4" w:rsidP="00D45FEC">
            <w:pPr>
              <w:cnfStyle w:val="000000000000" w:firstRow="0" w:lastRow="0" w:firstColumn="0" w:lastColumn="0" w:oddVBand="0" w:evenVBand="0" w:oddHBand="0" w:evenHBand="0" w:firstRowFirstColumn="0" w:firstRowLastColumn="0" w:lastRowFirstColumn="0" w:lastRowLastColumn="0"/>
            </w:pPr>
            <w:r>
              <w:t xml:space="preserve">Note: When </w:t>
            </w:r>
            <w:r w:rsidRPr="003B0D68">
              <w:t>“</w:t>
            </w:r>
            <w:r>
              <w:t>On Fixed Date” is chosen</w:t>
            </w:r>
            <w:r w:rsidR="00D45FEC">
              <w:t>,</w:t>
            </w:r>
            <w:r>
              <w:t xml:space="preserve"> the tool will allow specification of the start date.</w:t>
            </w:r>
          </w:p>
        </w:tc>
      </w:tr>
      <w:tr w:rsidR="00D45FEC" w14:paraId="48A12B55"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7CD2F76E" w14:textId="77777777" w:rsidR="00D45FEC" w:rsidRDefault="00D45FEC" w:rsidP="00C53A9D">
            <w:r>
              <w:t>End Date Constraint Type</w:t>
            </w:r>
          </w:p>
        </w:tc>
        <w:tc>
          <w:tcPr>
            <w:tcW w:w="6480" w:type="dxa"/>
          </w:tcPr>
          <w:p w14:paraId="446B2D6D" w14:textId="77777777" w:rsidR="00D45FEC" w:rsidRDefault="00D45FEC" w:rsidP="00D45FEC">
            <w:pPr>
              <w:cnfStyle w:val="000000000000" w:firstRow="0" w:lastRow="0" w:firstColumn="0" w:lastColumn="0" w:oddVBand="0" w:evenVBand="0" w:oddHBand="0" w:evenHBand="0" w:firstRowFirstColumn="0" w:firstRowLastColumn="0" w:lastRowFirstColumn="0" w:lastRowLastColumn="0"/>
            </w:pPr>
            <w:r>
              <w:t xml:space="preserve">Select one of: </w:t>
            </w:r>
          </w:p>
          <w:p w14:paraId="5EBA7FBE" w14:textId="77777777" w:rsidR="00D45FEC" w:rsidRDefault="00D45FEC" w:rsidP="00D45FEC">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“When RMDs begin”</w:t>
            </w:r>
          </w:p>
          <w:p w14:paraId="33C3915D" w14:textId="77777777" w:rsidR="00D45FEC" w:rsidRDefault="00D45FEC" w:rsidP="00D45FEC">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“On Fixed Date”</w:t>
            </w:r>
          </w:p>
          <w:p w14:paraId="70AC617E" w14:textId="77777777" w:rsidR="00D45FEC" w:rsidRDefault="00D45FEC" w:rsidP="00D45FEC">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“On Start of Plan”</w:t>
            </w:r>
          </w:p>
          <w:p w14:paraId="20250E45" w14:textId="114D2E0A" w:rsidR="00D45FEC" w:rsidRPr="003B0D68" w:rsidRDefault="00D45FEC" w:rsidP="00D45FEC">
            <w:pPr>
              <w:cnfStyle w:val="000000000000" w:firstRow="0" w:lastRow="0" w:firstColumn="0" w:lastColumn="0" w:oddVBand="0" w:evenVBand="0" w:oddHBand="0" w:evenHBand="0" w:firstRowFirstColumn="0" w:firstRowLastColumn="0" w:lastRowFirstColumn="0" w:lastRowLastColumn="0"/>
            </w:pPr>
            <w:r>
              <w:t>Note: When “On Fixed Date” is chosen the tool will allow specification of the end date.</w:t>
            </w:r>
          </w:p>
        </w:tc>
      </w:tr>
      <w:tr w:rsidR="00D45FEC" w14:paraId="543D9383"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6A08338B" w14:textId="77777777" w:rsidR="00D45FEC" w:rsidRDefault="00D45FEC" w:rsidP="00C53A9D">
            <w:r>
              <w:t>Allow Use of Pre-Tax Dollars for Taxes</w:t>
            </w:r>
          </w:p>
        </w:tc>
        <w:tc>
          <w:tcPr>
            <w:tcW w:w="6480" w:type="dxa"/>
          </w:tcPr>
          <w:p w14:paraId="57AE4944" w14:textId="77777777" w:rsidR="00D45FEC" w:rsidRDefault="00D45FEC" w:rsidP="00D45FEC">
            <w:pPr>
              <w:cnfStyle w:val="000000000000" w:firstRow="0" w:lastRow="0" w:firstColumn="0" w:lastColumn="0" w:oddVBand="0" w:evenVBand="0" w:oddHBand="0" w:evenHBand="0" w:firstRowFirstColumn="0" w:firstRowLastColumn="0" w:lastRowFirstColumn="0" w:lastRowLastColumn="0"/>
            </w:pPr>
            <w:r>
              <w:t>Accepted financial advice is that pre-tax dollars should not be used to pay taxes on Roth Conversions.  Thus, the algorithms reduce or even eliminate a yearly Roth conversion if there are insufficient taxable assets to pay the taxes.  Checking this option ignores this and allows additional Taxable IRA assets to be used to pay resulting taxes.</w:t>
            </w:r>
          </w:p>
        </w:tc>
      </w:tr>
    </w:tbl>
    <w:p w14:paraId="5950F250" w14:textId="77777777" w:rsidR="00D45FEC" w:rsidRDefault="004A5BE1" w:rsidP="00D45FEC">
      <w:pPr>
        <w:pStyle w:val="NoSpacing"/>
      </w:pPr>
      <w:r>
        <w:t>Note</w:t>
      </w:r>
      <w:r w:rsidR="00D45FEC">
        <w:t>s</w:t>
      </w:r>
      <w:r>
        <w:t xml:space="preserve">: </w:t>
      </w:r>
    </w:p>
    <w:p w14:paraId="116CCC38" w14:textId="77777777" w:rsidR="004A5BE1" w:rsidRDefault="004A5BE1" w:rsidP="00D45FEC">
      <w:pPr>
        <w:pStyle w:val="ListParagraph"/>
        <w:numPr>
          <w:ilvl w:val="0"/>
          <w:numId w:val="19"/>
        </w:numPr>
      </w:pPr>
      <w:r>
        <w:t>For the analysis to operate</w:t>
      </w:r>
      <w:r w:rsidR="00D45FEC">
        <w:t>, t</w:t>
      </w:r>
      <w:r>
        <w:t>here must be at least one Roth Conversion Scenario.</w:t>
      </w:r>
    </w:p>
    <w:p w14:paraId="15E33C11" w14:textId="77777777" w:rsidR="00EF1C6E" w:rsidRDefault="004A5BE1" w:rsidP="004A5BE1">
      <w:pPr>
        <w:pStyle w:val="Heading3"/>
      </w:pPr>
      <w:r>
        <w:t xml:space="preserve">Configuration </w:t>
      </w:r>
      <w:r w:rsidR="0079596C">
        <w:t xml:space="preserve">- </w:t>
      </w:r>
      <w:r>
        <w:t>Errors</w:t>
      </w:r>
    </w:p>
    <w:p w14:paraId="498402BC" w14:textId="44BE781A" w:rsidR="007831FE" w:rsidRDefault="004A5BE1" w:rsidP="007831FE">
      <w:r>
        <w:t xml:space="preserve">If an attempt is made to exit configuration </w:t>
      </w:r>
      <w:r w:rsidR="00B01AAA">
        <w:t>when configuration</w:t>
      </w:r>
      <w:r>
        <w:t xml:space="preserve"> errors exist </w:t>
      </w:r>
      <w:r w:rsidR="00B01AAA">
        <w:t>a</w:t>
      </w:r>
      <w:r>
        <w:t xml:space="preserve"> configuration </w:t>
      </w:r>
      <w:r w:rsidR="00B01AAA">
        <w:t xml:space="preserve">error </w:t>
      </w:r>
      <w:r w:rsidR="00C66AED">
        <w:t>dialog similar to the following is shown…</w:t>
      </w:r>
    </w:p>
    <w:p w14:paraId="6869C6BA" w14:textId="77777777" w:rsidR="00C66AED" w:rsidRDefault="00C66AED" w:rsidP="007831FE">
      <w:r w:rsidRPr="00C66AED">
        <w:rPr>
          <w:noProof/>
        </w:rPr>
        <w:lastRenderedPageBreak/>
        <w:drawing>
          <wp:inline distT="0" distB="0" distL="0" distR="0" wp14:anchorId="12F77578" wp14:editId="3A623218">
            <wp:extent cx="5943600" cy="3175635"/>
            <wp:effectExtent l="0" t="0" r="0" b="0"/>
            <wp:docPr id="158911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11332" name=""/>
                    <pic:cNvPicPr/>
                  </pic:nvPicPr>
                  <pic:blipFill>
                    <a:blip r:embed="rId23"/>
                    <a:stretch>
                      <a:fillRect/>
                    </a:stretch>
                  </pic:blipFill>
                  <pic:spPr>
                    <a:xfrm>
                      <a:off x="0" y="0"/>
                      <a:ext cx="5943600" cy="3175635"/>
                    </a:xfrm>
                    <a:prstGeom prst="rect">
                      <a:avLst/>
                    </a:prstGeom>
                  </pic:spPr>
                </pic:pic>
              </a:graphicData>
            </a:graphic>
          </wp:inline>
        </w:drawing>
      </w:r>
    </w:p>
    <w:p w14:paraId="3CF9C502" w14:textId="77777777" w:rsidR="00C66AED" w:rsidRDefault="00D45FEC" w:rsidP="007831FE">
      <w:r>
        <w:t>Note: All errors</w:t>
      </w:r>
      <w:r w:rsidR="00C66AED">
        <w:t xml:space="preserve"> must be resolved before the analysis algorithms will run.</w:t>
      </w:r>
    </w:p>
    <w:p w14:paraId="5507A5BB" w14:textId="77777777" w:rsidR="00BA643C" w:rsidRDefault="00216284" w:rsidP="0079596C">
      <w:pPr>
        <w:pStyle w:val="Heading2"/>
      </w:pPr>
      <w:r>
        <w:t>Results</w:t>
      </w:r>
    </w:p>
    <w:p w14:paraId="216DE621" w14:textId="77777777" w:rsidR="0079596C" w:rsidRPr="0079596C" w:rsidRDefault="0079596C" w:rsidP="0079596C">
      <w:pPr>
        <w:pStyle w:val="Heading3"/>
      </w:pPr>
      <w:r>
        <w:t>Results - Graphical</w:t>
      </w:r>
    </w:p>
    <w:p w14:paraId="102248BF" w14:textId="77777777" w:rsidR="00216284" w:rsidRDefault="00216284" w:rsidP="00216284">
      <w:r w:rsidRPr="00216284">
        <w:rPr>
          <w:noProof/>
        </w:rPr>
        <w:drawing>
          <wp:inline distT="0" distB="0" distL="0" distR="0" wp14:anchorId="642890B8" wp14:editId="0344C00F">
            <wp:extent cx="5943600" cy="3515360"/>
            <wp:effectExtent l="0" t="0" r="0" b="2540"/>
            <wp:docPr id="16004596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59607"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943600" cy="3515360"/>
                    </a:xfrm>
                    <a:prstGeom prst="rect">
                      <a:avLst/>
                    </a:prstGeom>
                  </pic:spPr>
                </pic:pic>
              </a:graphicData>
            </a:graphic>
          </wp:inline>
        </w:drawing>
      </w:r>
    </w:p>
    <w:p w14:paraId="0E4D892D" w14:textId="77777777" w:rsidR="00C867C3" w:rsidRDefault="00C867C3" w:rsidP="00216284">
      <w:r>
        <w:t xml:space="preserve">The graphical results view plots s single variable/ result for all configured scenarios over the timeframe specified in the overall plan.  The legend shows the scenarios in the plot using the user’s configured scenario name and scenario color. The example above is plotting estimated “Total Assets” (across all accounts) for five different scenarios.  </w:t>
      </w:r>
    </w:p>
    <w:tbl>
      <w:tblPr>
        <w:tblStyle w:val="GridTable4-Accent5"/>
        <w:tblW w:w="0" w:type="auto"/>
        <w:tblLook w:val="06A0" w:firstRow="1" w:lastRow="0" w:firstColumn="1" w:lastColumn="0" w:noHBand="1" w:noVBand="1"/>
      </w:tblPr>
      <w:tblGrid>
        <w:gridCol w:w="1435"/>
        <w:gridCol w:w="2160"/>
        <w:gridCol w:w="5755"/>
      </w:tblGrid>
      <w:tr w:rsidR="00C867C3" w14:paraId="6E253799" w14:textId="77777777" w:rsidTr="002C1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F944941" w14:textId="77777777" w:rsidR="00C867C3" w:rsidRDefault="00C867C3" w:rsidP="002C1E6A">
            <w:pPr>
              <w:keepNext/>
            </w:pPr>
            <w:r>
              <w:lastRenderedPageBreak/>
              <w:t>Number</w:t>
            </w:r>
          </w:p>
        </w:tc>
        <w:tc>
          <w:tcPr>
            <w:tcW w:w="2160" w:type="dxa"/>
          </w:tcPr>
          <w:p w14:paraId="06CB2E84" w14:textId="77777777" w:rsidR="00C867C3" w:rsidRDefault="00C867C3" w:rsidP="00216284">
            <w:pPr>
              <w:cnfStyle w:val="100000000000" w:firstRow="1" w:lastRow="0" w:firstColumn="0" w:lastColumn="0" w:oddVBand="0" w:evenVBand="0" w:oddHBand="0" w:evenHBand="0" w:firstRowFirstColumn="0" w:firstRowLastColumn="0" w:lastRowFirstColumn="0" w:lastRowLastColumn="0"/>
            </w:pPr>
            <w:r>
              <w:t>Scenario Name</w:t>
            </w:r>
          </w:p>
        </w:tc>
        <w:tc>
          <w:tcPr>
            <w:tcW w:w="5755" w:type="dxa"/>
          </w:tcPr>
          <w:p w14:paraId="3BC420A5" w14:textId="77777777" w:rsidR="00C867C3" w:rsidRDefault="00C867C3" w:rsidP="00216284">
            <w:pPr>
              <w:cnfStyle w:val="100000000000" w:firstRow="1" w:lastRow="0" w:firstColumn="0" w:lastColumn="0" w:oddVBand="0" w:evenVBand="0" w:oddHBand="0" w:evenHBand="0" w:firstRowFirstColumn="0" w:firstRowLastColumn="0" w:lastRowFirstColumn="0" w:lastRowLastColumn="0"/>
            </w:pPr>
            <w:r>
              <w:t>Description</w:t>
            </w:r>
          </w:p>
        </w:tc>
      </w:tr>
      <w:tr w:rsidR="00C867C3" w14:paraId="61DA5EB0" w14:textId="77777777" w:rsidTr="002C1E6A">
        <w:tc>
          <w:tcPr>
            <w:cnfStyle w:val="001000000000" w:firstRow="0" w:lastRow="0" w:firstColumn="1" w:lastColumn="0" w:oddVBand="0" w:evenVBand="0" w:oddHBand="0" w:evenHBand="0" w:firstRowFirstColumn="0" w:firstRowLastColumn="0" w:lastRowFirstColumn="0" w:lastRowLastColumn="0"/>
            <w:tcW w:w="1435" w:type="dxa"/>
          </w:tcPr>
          <w:p w14:paraId="24D2EABC" w14:textId="77777777" w:rsidR="00C867C3" w:rsidRDefault="00C867C3" w:rsidP="002C1E6A">
            <w:pPr>
              <w:pStyle w:val="ListParagraph"/>
              <w:keepNext/>
              <w:numPr>
                <w:ilvl w:val="0"/>
                <w:numId w:val="13"/>
              </w:numPr>
            </w:pPr>
          </w:p>
        </w:tc>
        <w:tc>
          <w:tcPr>
            <w:tcW w:w="2160" w:type="dxa"/>
          </w:tcPr>
          <w:p w14:paraId="4A83F567" w14:textId="77777777" w:rsidR="00C867C3" w:rsidRDefault="00C867C3" w:rsidP="00216284">
            <w:pPr>
              <w:cnfStyle w:val="000000000000" w:firstRow="0" w:lastRow="0" w:firstColumn="0" w:lastColumn="0" w:oddVBand="0" w:evenVBand="0" w:oddHBand="0" w:evenHBand="0" w:firstRowFirstColumn="0" w:firstRowLastColumn="0" w:lastRowFirstColumn="0" w:lastRowLastColumn="0"/>
            </w:pPr>
            <w:r>
              <w:t>NoConvert</w:t>
            </w:r>
          </w:p>
        </w:tc>
        <w:tc>
          <w:tcPr>
            <w:tcW w:w="5755" w:type="dxa"/>
          </w:tcPr>
          <w:p w14:paraId="436A58B8" w14:textId="77777777" w:rsidR="00C867C3" w:rsidRDefault="00C867C3" w:rsidP="00216284">
            <w:pPr>
              <w:cnfStyle w:val="000000000000" w:firstRow="0" w:lastRow="0" w:firstColumn="0" w:lastColumn="0" w:oddVBand="0" w:evenVBand="0" w:oddHBand="0" w:evenHBand="0" w:firstRowFirstColumn="0" w:firstRowLastColumn="0" w:lastRowFirstColumn="0" w:lastRowLastColumn="0"/>
            </w:pPr>
            <w:r>
              <w:t>Configured with no Roth Conversions.</w:t>
            </w:r>
          </w:p>
        </w:tc>
      </w:tr>
      <w:tr w:rsidR="00C867C3" w14:paraId="253F9D0D" w14:textId="77777777" w:rsidTr="002C1E6A">
        <w:tc>
          <w:tcPr>
            <w:cnfStyle w:val="001000000000" w:firstRow="0" w:lastRow="0" w:firstColumn="1" w:lastColumn="0" w:oddVBand="0" w:evenVBand="0" w:oddHBand="0" w:evenHBand="0" w:firstRowFirstColumn="0" w:firstRowLastColumn="0" w:lastRowFirstColumn="0" w:lastRowLastColumn="0"/>
            <w:tcW w:w="1435" w:type="dxa"/>
          </w:tcPr>
          <w:p w14:paraId="116F6998" w14:textId="77777777" w:rsidR="00C867C3" w:rsidRDefault="00C867C3" w:rsidP="002C1E6A">
            <w:pPr>
              <w:pStyle w:val="ListParagraph"/>
              <w:keepNext/>
              <w:numPr>
                <w:ilvl w:val="0"/>
                <w:numId w:val="13"/>
              </w:numPr>
            </w:pPr>
          </w:p>
        </w:tc>
        <w:tc>
          <w:tcPr>
            <w:tcW w:w="2160" w:type="dxa"/>
          </w:tcPr>
          <w:p w14:paraId="7A32B605" w14:textId="77777777" w:rsidR="00C867C3" w:rsidRDefault="00C867C3" w:rsidP="00216284">
            <w:pPr>
              <w:cnfStyle w:val="000000000000" w:firstRow="0" w:lastRow="0" w:firstColumn="0" w:lastColumn="0" w:oddVBand="0" w:evenVBand="0" w:oddHBand="0" w:evenHBand="0" w:firstRowFirstColumn="0" w:firstRowLastColumn="0" w:lastRowFirstColumn="0" w:lastRowLastColumn="0"/>
            </w:pPr>
            <w:r>
              <w:t>Fixed150</w:t>
            </w:r>
          </w:p>
        </w:tc>
        <w:tc>
          <w:tcPr>
            <w:tcW w:w="5755" w:type="dxa"/>
          </w:tcPr>
          <w:p w14:paraId="067DDACD" w14:textId="77777777" w:rsidR="00C867C3" w:rsidRDefault="00C867C3" w:rsidP="00216284">
            <w:pPr>
              <w:cnfStyle w:val="000000000000" w:firstRow="0" w:lastRow="0" w:firstColumn="0" w:lastColumn="0" w:oddVBand="0" w:evenVBand="0" w:oddHBand="0" w:evenHBand="0" w:firstRowFirstColumn="0" w:firstRowLastColumn="0" w:lastRowFirstColumn="0" w:lastRowLastColumn="0"/>
            </w:pPr>
            <w:r>
              <w:t>Configured to make $150,000 Roth Conversions from the start or the plan until RMDs start.</w:t>
            </w:r>
          </w:p>
        </w:tc>
      </w:tr>
      <w:tr w:rsidR="00C867C3" w14:paraId="5226EEA8" w14:textId="77777777" w:rsidTr="002C1E6A">
        <w:tc>
          <w:tcPr>
            <w:cnfStyle w:val="001000000000" w:firstRow="0" w:lastRow="0" w:firstColumn="1" w:lastColumn="0" w:oddVBand="0" w:evenVBand="0" w:oddHBand="0" w:evenHBand="0" w:firstRowFirstColumn="0" w:firstRowLastColumn="0" w:lastRowFirstColumn="0" w:lastRowLastColumn="0"/>
            <w:tcW w:w="1435" w:type="dxa"/>
          </w:tcPr>
          <w:p w14:paraId="1478C681" w14:textId="77777777" w:rsidR="00C867C3" w:rsidRDefault="00C867C3" w:rsidP="002C1E6A">
            <w:pPr>
              <w:pStyle w:val="ListParagraph"/>
              <w:keepNext/>
              <w:numPr>
                <w:ilvl w:val="0"/>
                <w:numId w:val="13"/>
              </w:numPr>
            </w:pPr>
          </w:p>
        </w:tc>
        <w:tc>
          <w:tcPr>
            <w:tcW w:w="2160" w:type="dxa"/>
          </w:tcPr>
          <w:p w14:paraId="786400FA" w14:textId="77777777" w:rsidR="00C867C3" w:rsidRDefault="00C867C3" w:rsidP="00216284">
            <w:pPr>
              <w:cnfStyle w:val="000000000000" w:firstRow="0" w:lastRow="0" w:firstColumn="0" w:lastColumn="0" w:oddVBand="0" w:evenVBand="0" w:oddHBand="0" w:evenHBand="0" w:firstRowFirstColumn="0" w:firstRowLastColumn="0" w:lastRowFirstColumn="0" w:lastRowLastColumn="0"/>
            </w:pPr>
            <w:r>
              <w:t>Fixed300</w:t>
            </w:r>
          </w:p>
        </w:tc>
        <w:tc>
          <w:tcPr>
            <w:tcW w:w="5755" w:type="dxa"/>
          </w:tcPr>
          <w:p w14:paraId="2F8666EA" w14:textId="77777777" w:rsidR="00C867C3" w:rsidRDefault="00C867C3" w:rsidP="00216284">
            <w:pPr>
              <w:cnfStyle w:val="000000000000" w:firstRow="0" w:lastRow="0" w:firstColumn="0" w:lastColumn="0" w:oddVBand="0" w:evenVBand="0" w:oddHBand="0" w:evenHBand="0" w:firstRowFirstColumn="0" w:firstRowLastColumn="0" w:lastRowFirstColumn="0" w:lastRowLastColumn="0"/>
            </w:pPr>
            <w:r>
              <w:t>Configured to make $300,000 Roth Conversions from the start or the plan until RMDs start.</w:t>
            </w:r>
          </w:p>
        </w:tc>
      </w:tr>
      <w:tr w:rsidR="00C867C3" w14:paraId="3A725CAD" w14:textId="77777777" w:rsidTr="002C1E6A">
        <w:tc>
          <w:tcPr>
            <w:cnfStyle w:val="001000000000" w:firstRow="0" w:lastRow="0" w:firstColumn="1" w:lastColumn="0" w:oddVBand="0" w:evenVBand="0" w:oddHBand="0" w:evenHBand="0" w:firstRowFirstColumn="0" w:firstRowLastColumn="0" w:lastRowFirstColumn="0" w:lastRowLastColumn="0"/>
            <w:tcW w:w="1435" w:type="dxa"/>
          </w:tcPr>
          <w:p w14:paraId="3A9E8018" w14:textId="77777777" w:rsidR="00C867C3" w:rsidRDefault="00C867C3" w:rsidP="002C1E6A">
            <w:pPr>
              <w:pStyle w:val="ListParagraph"/>
              <w:keepNext/>
              <w:numPr>
                <w:ilvl w:val="0"/>
                <w:numId w:val="13"/>
              </w:numPr>
            </w:pPr>
          </w:p>
        </w:tc>
        <w:tc>
          <w:tcPr>
            <w:tcW w:w="2160" w:type="dxa"/>
          </w:tcPr>
          <w:p w14:paraId="6DA4E31F" w14:textId="77777777" w:rsidR="00C867C3" w:rsidRDefault="00C867C3" w:rsidP="00216284">
            <w:pPr>
              <w:cnfStyle w:val="000000000000" w:firstRow="0" w:lastRow="0" w:firstColumn="0" w:lastColumn="0" w:oddVBand="0" w:evenVBand="0" w:oddHBand="0" w:evenHBand="0" w:firstRowFirstColumn="0" w:firstRowLastColumn="0" w:lastRowFirstColumn="0" w:lastRowLastColumn="0"/>
            </w:pPr>
            <w:r>
              <w:t>Magi150</w:t>
            </w:r>
          </w:p>
        </w:tc>
        <w:tc>
          <w:tcPr>
            <w:tcW w:w="5755" w:type="dxa"/>
          </w:tcPr>
          <w:p w14:paraId="69AA0443" w14:textId="77777777" w:rsidR="00C867C3" w:rsidRDefault="00C867C3" w:rsidP="00216284">
            <w:pPr>
              <w:cnfStyle w:val="000000000000" w:firstRow="0" w:lastRow="0" w:firstColumn="0" w:lastColumn="0" w:oddVBand="0" w:evenVBand="0" w:oddHBand="0" w:evenHBand="0" w:firstRowFirstColumn="0" w:firstRowLastColumn="0" w:lastRowFirstColumn="0" w:lastRowLastColumn="0"/>
            </w:pPr>
            <w:r>
              <w:t>Configured to make enough Roth Conversions to get close to a $150,000 federal modified adjusted gross income from the start or the plan until the plan ends.</w:t>
            </w:r>
          </w:p>
        </w:tc>
      </w:tr>
      <w:tr w:rsidR="00C867C3" w14:paraId="539B4864" w14:textId="77777777" w:rsidTr="002C1E6A">
        <w:tc>
          <w:tcPr>
            <w:cnfStyle w:val="001000000000" w:firstRow="0" w:lastRow="0" w:firstColumn="1" w:lastColumn="0" w:oddVBand="0" w:evenVBand="0" w:oddHBand="0" w:evenHBand="0" w:firstRowFirstColumn="0" w:firstRowLastColumn="0" w:lastRowFirstColumn="0" w:lastRowLastColumn="0"/>
            <w:tcW w:w="1435" w:type="dxa"/>
          </w:tcPr>
          <w:p w14:paraId="505A269F" w14:textId="77777777" w:rsidR="00C867C3" w:rsidRDefault="00C867C3" w:rsidP="00C867C3">
            <w:pPr>
              <w:pStyle w:val="ListParagraph"/>
              <w:numPr>
                <w:ilvl w:val="0"/>
                <w:numId w:val="13"/>
              </w:numPr>
            </w:pPr>
          </w:p>
        </w:tc>
        <w:tc>
          <w:tcPr>
            <w:tcW w:w="2160" w:type="dxa"/>
          </w:tcPr>
          <w:p w14:paraId="2D88906F" w14:textId="77777777" w:rsidR="00C867C3" w:rsidRDefault="00C867C3" w:rsidP="00216284">
            <w:pPr>
              <w:cnfStyle w:val="000000000000" w:firstRow="0" w:lastRow="0" w:firstColumn="0" w:lastColumn="0" w:oddVBand="0" w:evenVBand="0" w:oddHBand="0" w:evenHBand="0" w:firstRowFirstColumn="0" w:firstRowLastColumn="0" w:lastRowFirstColumn="0" w:lastRowLastColumn="0"/>
            </w:pPr>
            <w:r>
              <w:t>Magi300</w:t>
            </w:r>
          </w:p>
        </w:tc>
        <w:tc>
          <w:tcPr>
            <w:tcW w:w="5755" w:type="dxa"/>
          </w:tcPr>
          <w:p w14:paraId="6B19B0AA" w14:textId="77777777" w:rsidR="00C867C3" w:rsidRDefault="00C867C3" w:rsidP="00216284">
            <w:pPr>
              <w:cnfStyle w:val="000000000000" w:firstRow="0" w:lastRow="0" w:firstColumn="0" w:lastColumn="0" w:oddVBand="0" w:evenVBand="0" w:oddHBand="0" w:evenHBand="0" w:firstRowFirstColumn="0" w:firstRowLastColumn="0" w:lastRowFirstColumn="0" w:lastRowLastColumn="0"/>
            </w:pPr>
            <w:r>
              <w:t>Configured to make enough Roth Conversions to get close to $300,000 federal modified adjusted gross income from the start or the plan until the plan ends.</w:t>
            </w:r>
          </w:p>
        </w:tc>
      </w:tr>
    </w:tbl>
    <w:p w14:paraId="07350E0E" w14:textId="77777777" w:rsidR="00C867C3" w:rsidRDefault="00C867C3" w:rsidP="00216284"/>
    <w:p w14:paraId="1968EDE1" w14:textId="77777777" w:rsidR="002C1E6A" w:rsidRDefault="002C1E6A" w:rsidP="00216284">
      <w:r>
        <w:t>Several different results can be plotted as shown below.</w:t>
      </w:r>
    </w:p>
    <w:p w14:paraId="3EBB049D" w14:textId="294F8561" w:rsidR="00DE7B81" w:rsidRDefault="00DE7B81" w:rsidP="00DE7B81">
      <w:pPr>
        <w:jc w:val="center"/>
      </w:pPr>
      <w:r w:rsidRPr="00DE7B81">
        <w:rPr>
          <w:noProof/>
        </w:rPr>
        <w:drawing>
          <wp:inline distT="0" distB="0" distL="0" distR="0" wp14:anchorId="6ABC9308" wp14:editId="71A9310D">
            <wp:extent cx="2636875" cy="4074448"/>
            <wp:effectExtent l="0" t="0" r="5080" b="2540"/>
            <wp:docPr id="3" name="Picture 2">
              <a:extLst xmlns:a="http://schemas.openxmlformats.org/drawingml/2006/main">
                <a:ext uri="{FF2B5EF4-FFF2-40B4-BE49-F238E27FC236}">
                  <a16:creationId xmlns:a16="http://schemas.microsoft.com/office/drawing/2014/main" id="{626FF473-F5DE-9C38-2821-37CF2F9940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26FF473-F5DE-9C38-2821-37CF2F994072}"/>
                        </a:ext>
                      </a:extLst>
                    </pic:cNvPr>
                    <pic:cNvPicPr>
                      <a:picLocks noChangeAspect="1"/>
                    </pic:cNvPicPr>
                  </pic:nvPicPr>
                  <pic:blipFill>
                    <a:blip r:embed="rId26"/>
                    <a:stretch>
                      <a:fillRect/>
                    </a:stretch>
                  </pic:blipFill>
                  <pic:spPr>
                    <a:xfrm>
                      <a:off x="0" y="0"/>
                      <a:ext cx="2660917" cy="4111598"/>
                    </a:xfrm>
                    <a:prstGeom prst="rect">
                      <a:avLst/>
                    </a:prstGeom>
                  </pic:spPr>
                </pic:pic>
              </a:graphicData>
            </a:graphic>
          </wp:inline>
        </w:drawing>
      </w:r>
    </w:p>
    <w:p w14:paraId="697A8C74" w14:textId="448667A9" w:rsidR="002C1E6A" w:rsidRDefault="002C1E6A" w:rsidP="00216284"/>
    <w:tbl>
      <w:tblPr>
        <w:tblStyle w:val="GridTable4-Accent5"/>
        <w:tblW w:w="0" w:type="auto"/>
        <w:tblLook w:val="06A0" w:firstRow="1" w:lastRow="0" w:firstColumn="1" w:lastColumn="0" w:noHBand="1" w:noVBand="1"/>
      </w:tblPr>
      <w:tblGrid>
        <w:gridCol w:w="2785"/>
        <w:gridCol w:w="6480"/>
      </w:tblGrid>
      <w:tr w:rsidR="00D45FEC" w14:paraId="14FC3EFB" w14:textId="77777777" w:rsidTr="00C53A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D6B356E" w14:textId="77777777" w:rsidR="00D45FEC" w:rsidRDefault="00D45FEC" w:rsidP="00C53A9D">
            <w:pPr>
              <w:keepNext/>
            </w:pPr>
            <w:r>
              <w:t>Series Name</w:t>
            </w:r>
          </w:p>
        </w:tc>
        <w:tc>
          <w:tcPr>
            <w:tcW w:w="6480" w:type="dxa"/>
          </w:tcPr>
          <w:p w14:paraId="34ED7708" w14:textId="77777777" w:rsidR="00D45FEC" w:rsidRDefault="00D45FEC" w:rsidP="00C53A9D">
            <w:pPr>
              <w:keepNext/>
              <w:cnfStyle w:val="100000000000" w:firstRow="1" w:lastRow="0" w:firstColumn="0" w:lastColumn="0" w:oddVBand="0" w:evenVBand="0" w:oddHBand="0" w:evenHBand="0" w:firstRowFirstColumn="0" w:firstRowLastColumn="0" w:lastRowFirstColumn="0" w:lastRowLastColumn="0"/>
            </w:pPr>
            <w:r>
              <w:t>Field Description</w:t>
            </w:r>
          </w:p>
        </w:tc>
      </w:tr>
      <w:tr w:rsidR="00D45FEC" w14:paraId="6BB4329B"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2C08EB31" w14:textId="77777777" w:rsidR="00D45FEC" w:rsidRDefault="00D45FEC" w:rsidP="00C53A9D">
            <w:r>
              <w:t>Total Assets</w:t>
            </w:r>
          </w:p>
        </w:tc>
        <w:tc>
          <w:tcPr>
            <w:tcW w:w="6480" w:type="dxa"/>
          </w:tcPr>
          <w:p w14:paraId="6D337FA1" w14:textId="77777777" w:rsidR="00D45FEC" w:rsidRDefault="00D45FEC" w:rsidP="00C53A9D">
            <w:pPr>
              <w:cnfStyle w:val="000000000000" w:firstRow="0" w:lastRow="0" w:firstColumn="0" w:lastColumn="0" w:oddVBand="0" w:evenVBand="0" w:oddHBand="0" w:evenHBand="0" w:firstRowFirstColumn="0" w:firstRowLastColumn="0" w:lastRowFirstColumn="0" w:lastRowLastColumn="0"/>
            </w:pPr>
            <w:r>
              <w:t>This series plots the sum of ALL of the account balances (regardless of account type) over all of the years in the plan.</w:t>
            </w:r>
          </w:p>
        </w:tc>
      </w:tr>
      <w:tr w:rsidR="00DE7B81" w14:paraId="029E3E5E"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596D0442" w14:textId="30C5AE53" w:rsidR="00DE7B81" w:rsidRDefault="00DE7B81" w:rsidP="00C53A9D">
            <w:r>
              <w:t>Total Value</w:t>
            </w:r>
          </w:p>
        </w:tc>
        <w:tc>
          <w:tcPr>
            <w:tcW w:w="6480" w:type="dxa"/>
          </w:tcPr>
          <w:p w14:paraId="7356F872" w14:textId="6DC0BE16" w:rsidR="00DE7B81" w:rsidRDefault="00DE7B81" w:rsidP="00C53A9D">
            <w:pPr>
              <w:cnfStyle w:val="000000000000" w:firstRow="0" w:lastRow="0" w:firstColumn="0" w:lastColumn="0" w:oddVBand="0" w:evenVBand="0" w:oddHBand="0" w:evenHBand="0" w:firstRowFirstColumn="0" w:firstRowLastColumn="0" w:lastRowFirstColumn="0" w:lastRowLastColumn="0"/>
            </w:pPr>
            <w:r>
              <w:t xml:space="preserve">This series plots an aggregate value of ALL of the account </w:t>
            </w:r>
            <w:r w:rsidR="00A00A6C">
              <w:t>“</w:t>
            </w:r>
            <w:r>
              <w:t>values</w:t>
            </w:r>
            <w:r w:rsidR="00A00A6C">
              <w:t>”</w:t>
            </w:r>
            <w:r>
              <w:t xml:space="preserve"> over all of the years in the plan. Where the “value” of a</w:t>
            </w:r>
            <w:r w:rsidR="00A00A6C">
              <w:t>n</w:t>
            </w:r>
            <w:r>
              <w:t xml:space="preserve"> account is different for </w:t>
            </w:r>
            <w:r w:rsidR="00A00A6C">
              <w:t>each</w:t>
            </w:r>
            <w:r>
              <w:t xml:space="preserve"> account type.  </w:t>
            </w:r>
            <w:r w:rsidR="00A00A6C">
              <w:t>For example:</w:t>
            </w:r>
          </w:p>
          <w:p w14:paraId="3A63FA0B" w14:textId="77777777" w:rsidR="00DE7B81" w:rsidRDefault="00DE7B81" w:rsidP="00DE7B81">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Roth IRA account balances are valued the highest.</w:t>
            </w:r>
          </w:p>
          <w:p w14:paraId="4CF6CE42" w14:textId="0871148F" w:rsidR="00DE7B81" w:rsidRDefault="00DE7B81" w:rsidP="00DE7B81">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Taxable account balances are valued the second highest.</w:t>
            </w:r>
          </w:p>
          <w:p w14:paraId="46493C61" w14:textId="0CA96357" w:rsidR="00A00A6C" w:rsidRDefault="00DE7B81" w:rsidP="005A42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lastRenderedPageBreak/>
              <w:t xml:space="preserve">Traditional IRA account balances are valued the least. </w:t>
            </w:r>
          </w:p>
        </w:tc>
      </w:tr>
      <w:tr w:rsidR="00D45FEC" w14:paraId="5AC9B1A9"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7B064C88" w14:textId="77777777" w:rsidR="00D45FEC" w:rsidRDefault="00D45FEC" w:rsidP="00C53A9D">
            <w:r>
              <w:lastRenderedPageBreak/>
              <w:t>IRA Assets</w:t>
            </w:r>
          </w:p>
        </w:tc>
        <w:tc>
          <w:tcPr>
            <w:tcW w:w="6480" w:type="dxa"/>
          </w:tcPr>
          <w:p w14:paraId="3BB2F0B9" w14:textId="77777777" w:rsidR="00D45FEC" w:rsidRPr="003B0D68" w:rsidRDefault="00D45FEC" w:rsidP="00C53A9D">
            <w:pPr>
              <w:cnfStyle w:val="000000000000" w:firstRow="0" w:lastRow="0" w:firstColumn="0" w:lastColumn="0" w:oddVBand="0" w:evenVBand="0" w:oddHBand="0" w:evenHBand="0" w:firstRowFirstColumn="0" w:firstRowLastColumn="0" w:lastRowFirstColumn="0" w:lastRowLastColumn="0"/>
            </w:pPr>
            <w:r>
              <w:t>This series plots the sum of ALL of the Traditional IRA account balances over all of the years in the plan.</w:t>
            </w:r>
          </w:p>
        </w:tc>
      </w:tr>
      <w:tr w:rsidR="00D45FEC" w14:paraId="123ABBCC"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06B1930A" w14:textId="77777777" w:rsidR="00D45FEC" w:rsidRDefault="00D45FEC" w:rsidP="00D45FEC">
            <w:r>
              <w:t>Roth Assets</w:t>
            </w:r>
          </w:p>
        </w:tc>
        <w:tc>
          <w:tcPr>
            <w:tcW w:w="6480" w:type="dxa"/>
          </w:tcPr>
          <w:p w14:paraId="656296A9" w14:textId="77777777" w:rsidR="00D45FEC" w:rsidRPr="003B0D68" w:rsidRDefault="00D45FEC" w:rsidP="00D45FEC">
            <w:pPr>
              <w:cnfStyle w:val="000000000000" w:firstRow="0" w:lastRow="0" w:firstColumn="0" w:lastColumn="0" w:oddVBand="0" w:evenVBand="0" w:oddHBand="0" w:evenHBand="0" w:firstRowFirstColumn="0" w:firstRowLastColumn="0" w:lastRowFirstColumn="0" w:lastRowLastColumn="0"/>
            </w:pPr>
            <w:r>
              <w:t>This series plots the sum of ALL of the Roth IRA account balances over all of the years in the plan.</w:t>
            </w:r>
          </w:p>
        </w:tc>
      </w:tr>
      <w:tr w:rsidR="00D45FEC" w14:paraId="526EB095"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724331E3" w14:textId="77777777" w:rsidR="00D45FEC" w:rsidRDefault="00D45FEC" w:rsidP="00D45FEC">
            <w:r>
              <w:t>Non-IRA Assets</w:t>
            </w:r>
          </w:p>
        </w:tc>
        <w:tc>
          <w:tcPr>
            <w:tcW w:w="6480" w:type="dxa"/>
          </w:tcPr>
          <w:p w14:paraId="16DDB4D3" w14:textId="77777777" w:rsidR="00D45FEC" w:rsidRPr="003B0D68" w:rsidRDefault="00D45FEC" w:rsidP="00D45FEC">
            <w:pPr>
              <w:cnfStyle w:val="000000000000" w:firstRow="0" w:lastRow="0" w:firstColumn="0" w:lastColumn="0" w:oddVBand="0" w:evenVBand="0" w:oddHBand="0" w:evenHBand="0" w:firstRowFirstColumn="0" w:firstRowLastColumn="0" w:lastRowFirstColumn="0" w:lastRowLastColumn="0"/>
            </w:pPr>
            <w:r>
              <w:t xml:space="preserve">This series plots the sum of ALL of the account balances (except the Traditional IRA) over all of the years in the plan.  That’s is, all of the </w:t>
            </w:r>
            <w:r w:rsidRPr="003B0D68">
              <w:t>“</w:t>
            </w:r>
            <w:r>
              <w:t>Savings/CD</w:t>
            </w:r>
            <w:r w:rsidRPr="003B0D68">
              <w:t>”, “</w:t>
            </w:r>
            <w:r>
              <w:t>Brokerage</w:t>
            </w:r>
            <w:r w:rsidR="004C1FED" w:rsidRPr="003B0D68">
              <w:t xml:space="preserve">”, </w:t>
            </w:r>
            <w:r w:rsidR="004C1FED">
              <w:t>and</w:t>
            </w:r>
            <w:r w:rsidRPr="003B0D68">
              <w:t xml:space="preserve"> “</w:t>
            </w:r>
            <w:r>
              <w:t>Roth IRA</w:t>
            </w:r>
            <w:r w:rsidRPr="003B0D68">
              <w:t>”</w:t>
            </w:r>
            <w:r>
              <w:t xml:space="preserve"> accounts.</w:t>
            </w:r>
          </w:p>
        </w:tc>
      </w:tr>
      <w:tr w:rsidR="00D45FEC" w14:paraId="25C46351"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7B792B3A" w14:textId="77777777" w:rsidR="00D45FEC" w:rsidRDefault="00D45FEC" w:rsidP="00D45FEC">
            <w:r>
              <w:t>Taxable Assets</w:t>
            </w:r>
          </w:p>
        </w:tc>
        <w:tc>
          <w:tcPr>
            <w:tcW w:w="6480" w:type="dxa"/>
          </w:tcPr>
          <w:p w14:paraId="727C4DDF" w14:textId="77777777" w:rsidR="00D45FEC" w:rsidRPr="003B0D68" w:rsidRDefault="00D45FEC" w:rsidP="00D45FEC">
            <w:pPr>
              <w:cnfStyle w:val="000000000000" w:firstRow="0" w:lastRow="0" w:firstColumn="0" w:lastColumn="0" w:oddVBand="0" w:evenVBand="0" w:oddHBand="0" w:evenHBand="0" w:firstRowFirstColumn="0" w:firstRowLastColumn="0" w:lastRowFirstColumn="0" w:lastRowLastColumn="0"/>
            </w:pPr>
            <w:r>
              <w:t xml:space="preserve">This series plots the sum of ALL of the </w:t>
            </w:r>
            <w:r w:rsidR="004C1FED">
              <w:t xml:space="preserve">taxable </w:t>
            </w:r>
            <w:r>
              <w:t xml:space="preserve">account balances (over all of the years in the plan.  That’s is, all of the </w:t>
            </w:r>
            <w:r w:rsidRPr="003B0D68">
              <w:t>“</w:t>
            </w:r>
            <w:r>
              <w:t>Savings/CD</w:t>
            </w:r>
            <w:r w:rsidRPr="003B0D68">
              <w:t>”</w:t>
            </w:r>
            <w:r w:rsidR="004C1FED">
              <w:t xml:space="preserve"> and </w:t>
            </w:r>
            <w:r w:rsidRPr="003B0D68">
              <w:t>“</w:t>
            </w:r>
            <w:r>
              <w:t>Brokerage</w:t>
            </w:r>
            <w:r w:rsidRPr="003B0D68">
              <w:t>”</w:t>
            </w:r>
            <w:r w:rsidR="004C1FED">
              <w:t xml:space="preserve"> </w:t>
            </w:r>
            <w:r>
              <w:t>accounts.</w:t>
            </w:r>
          </w:p>
        </w:tc>
      </w:tr>
      <w:tr w:rsidR="00D45FEC" w14:paraId="7555D021"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7A22E547" w14:textId="77777777" w:rsidR="00D45FEC" w:rsidRDefault="00D45FEC" w:rsidP="00D45FEC">
            <w:r>
              <w:t>Yearly Taxes</w:t>
            </w:r>
          </w:p>
        </w:tc>
        <w:tc>
          <w:tcPr>
            <w:tcW w:w="6480" w:type="dxa"/>
          </w:tcPr>
          <w:p w14:paraId="27C2C03E" w14:textId="77777777" w:rsidR="00D45FEC" w:rsidRPr="003B0D68" w:rsidRDefault="004C1FED" w:rsidP="00D45FEC">
            <w:pPr>
              <w:cnfStyle w:val="000000000000" w:firstRow="0" w:lastRow="0" w:firstColumn="0" w:lastColumn="0" w:oddVBand="0" w:evenVBand="0" w:oddHBand="0" w:evenHBand="0" w:firstRowFirstColumn="0" w:firstRowLastColumn="0" w:lastRowFirstColumn="0" w:lastRowLastColumn="0"/>
            </w:pPr>
            <w:r>
              <w:t>This series plots the sum of ALL of the taxes accrued in a given year.  That’s is, all of the Federal Income Taxes, State Income Taxes, Local Income Taxes, FICA Income Taxes, Medicare Income Taxes, and IRMAA Taxes.</w:t>
            </w:r>
          </w:p>
        </w:tc>
      </w:tr>
      <w:tr w:rsidR="00D45FEC" w14:paraId="556DC2BE" w14:textId="77777777" w:rsidTr="00C53A9D">
        <w:tc>
          <w:tcPr>
            <w:cnfStyle w:val="001000000000" w:firstRow="0" w:lastRow="0" w:firstColumn="1" w:lastColumn="0" w:oddVBand="0" w:evenVBand="0" w:oddHBand="0" w:evenHBand="0" w:firstRowFirstColumn="0" w:firstRowLastColumn="0" w:lastRowFirstColumn="0" w:lastRowLastColumn="0"/>
            <w:tcW w:w="2785" w:type="dxa"/>
          </w:tcPr>
          <w:p w14:paraId="781E785F" w14:textId="77777777" w:rsidR="00D45FEC" w:rsidRDefault="00D45FEC" w:rsidP="00D45FEC">
            <w:r>
              <w:t>Cumulative Taxes</w:t>
            </w:r>
          </w:p>
        </w:tc>
        <w:tc>
          <w:tcPr>
            <w:tcW w:w="6480" w:type="dxa"/>
          </w:tcPr>
          <w:p w14:paraId="43FCD46A" w14:textId="77777777" w:rsidR="00D45FEC" w:rsidRPr="003B0D68" w:rsidRDefault="004C1FED" w:rsidP="00D45FEC">
            <w:pPr>
              <w:cnfStyle w:val="000000000000" w:firstRow="0" w:lastRow="0" w:firstColumn="0" w:lastColumn="0" w:oddVBand="0" w:evenVBand="0" w:oddHBand="0" w:evenHBand="0" w:firstRowFirstColumn="0" w:firstRowLastColumn="0" w:lastRowFirstColumn="0" w:lastRowLastColumn="0"/>
            </w:pPr>
            <w:r>
              <w:t xml:space="preserve">This series plots the year over year accumulation of the yearly taxes accrued up to that point for a given year. </w:t>
            </w:r>
          </w:p>
        </w:tc>
      </w:tr>
    </w:tbl>
    <w:p w14:paraId="6ED4E3DD" w14:textId="77777777" w:rsidR="002C1E6A" w:rsidRDefault="002C1E6A" w:rsidP="00216284"/>
    <w:p w14:paraId="78368440" w14:textId="77777777" w:rsidR="0079596C" w:rsidRDefault="0079596C" w:rsidP="0079596C">
      <w:pPr>
        <w:pStyle w:val="Heading3"/>
      </w:pPr>
      <w:r>
        <w:t>Results - Tabular</w:t>
      </w:r>
    </w:p>
    <w:p w14:paraId="5E7C8BE6" w14:textId="77777777" w:rsidR="00073DAB" w:rsidRDefault="009448A3" w:rsidP="00073DAB">
      <w:r w:rsidRPr="009448A3">
        <w:rPr>
          <w:noProof/>
        </w:rPr>
        <w:drawing>
          <wp:inline distT="0" distB="0" distL="0" distR="0" wp14:anchorId="6694D312" wp14:editId="76723699">
            <wp:extent cx="5943600" cy="3302000"/>
            <wp:effectExtent l="0" t="0" r="0" b="0"/>
            <wp:docPr id="9254383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38303"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3302000"/>
                    </a:xfrm>
                    <a:prstGeom prst="rect">
                      <a:avLst/>
                    </a:prstGeom>
                  </pic:spPr>
                </pic:pic>
              </a:graphicData>
            </a:graphic>
          </wp:inline>
        </w:drawing>
      </w:r>
    </w:p>
    <w:p w14:paraId="6B0FF21C" w14:textId="77777777" w:rsidR="009448A3" w:rsidRDefault="009448A3" w:rsidP="00073DAB">
      <w:r>
        <w:t>The tabular results view provides year-by-year values, one per year for each of the actionable years in the plan.  Several different filters are provided where each filtered view provides for different yearly values.</w:t>
      </w:r>
    </w:p>
    <w:p w14:paraId="5DC80A2A" w14:textId="77777777" w:rsidR="00DA7083" w:rsidRDefault="00DA7083" w:rsidP="00DA7083">
      <w:pPr>
        <w:pStyle w:val="Heading4"/>
      </w:pPr>
      <w:r>
        <w:t>Filter Options</w:t>
      </w:r>
    </w:p>
    <w:tbl>
      <w:tblPr>
        <w:tblStyle w:val="GridTable4-Accent5"/>
        <w:tblW w:w="0" w:type="auto"/>
        <w:tblLook w:val="06A0" w:firstRow="1" w:lastRow="0" w:firstColumn="1" w:lastColumn="0" w:noHBand="1" w:noVBand="1"/>
      </w:tblPr>
      <w:tblGrid>
        <w:gridCol w:w="1885"/>
        <w:gridCol w:w="7380"/>
      </w:tblGrid>
      <w:tr w:rsidR="00DA7083" w14:paraId="42F0A834" w14:textId="77777777" w:rsidTr="00DA57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E3ADFF9" w14:textId="77777777" w:rsidR="00DA7083" w:rsidRDefault="00DA7083" w:rsidP="002B3936">
            <w:pPr>
              <w:keepNext/>
            </w:pPr>
            <w:r>
              <w:t>Filter Name</w:t>
            </w:r>
          </w:p>
        </w:tc>
        <w:tc>
          <w:tcPr>
            <w:tcW w:w="7380" w:type="dxa"/>
          </w:tcPr>
          <w:p w14:paraId="13AF30D2" w14:textId="77777777" w:rsidR="00DA7083" w:rsidRDefault="00DA7083" w:rsidP="002B3936">
            <w:pPr>
              <w:keepNext/>
              <w:cnfStyle w:val="100000000000" w:firstRow="1" w:lastRow="0" w:firstColumn="0" w:lastColumn="0" w:oddVBand="0" w:evenVBand="0" w:oddHBand="0" w:evenHBand="0" w:firstRowFirstColumn="0" w:firstRowLastColumn="0" w:lastRowFirstColumn="0" w:lastRowLastColumn="0"/>
            </w:pPr>
            <w:r>
              <w:t>Column Description</w:t>
            </w:r>
          </w:p>
        </w:tc>
      </w:tr>
      <w:tr w:rsidR="00DA7083" w14:paraId="54996816" w14:textId="77777777" w:rsidTr="00DA57B4">
        <w:tc>
          <w:tcPr>
            <w:cnfStyle w:val="001000000000" w:firstRow="0" w:lastRow="0" w:firstColumn="1" w:lastColumn="0" w:oddVBand="0" w:evenVBand="0" w:oddHBand="0" w:evenHBand="0" w:firstRowFirstColumn="0" w:firstRowLastColumn="0" w:lastRowFirstColumn="0" w:lastRowLastColumn="0"/>
            <w:tcW w:w="1885" w:type="dxa"/>
          </w:tcPr>
          <w:p w14:paraId="2571AA69" w14:textId="77777777" w:rsidR="00DA7083" w:rsidRDefault="00DA7083" w:rsidP="002B3936">
            <w:r>
              <w:t>Overview</w:t>
            </w:r>
          </w:p>
        </w:tc>
        <w:tc>
          <w:tcPr>
            <w:tcW w:w="7380" w:type="dxa"/>
          </w:tcPr>
          <w:p w14:paraId="14A3379E" w14:textId="77777777" w:rsidR="00DA7083" w:rsidRDefault="00DA7083" w:rsidP="002B3936">
            <w:pPr>
              <w:cnfStyle w:val="000000000000" w:firstRow="0" w:lastRow="0" w:firstColumn="0" w:lastColumn="0" w:oddVBand="0" w:evenVBand="0" w:oddHBand="0" w:evenHBand="0" w:firstRowFirstColumn="0" w:firstRowLastColumn="0" w:lastRowFirstColumn="0" w:lastRowLastColumn="0"/>
            </w:pPr>
            <w:r>
              <w:t xml:space="preserve">Each row represents a specific year and provides a year-by-year report of a number of different values related to that year.  For a description of the </w:t>
            </w:r>
            <w:r>
              <w:lastRenderedPageBreak/>
              <w:t>values presented se</w:t>
            </w:r>
            <w:r w:rsidR="00E019E6">
              <w:t xml:space="preserve">e </w:t>
            </w:r>
            <w:hyperlink w:anchor="_Table_Columns_for" w:history="1">
              <w:r w:rsidR="00E019E6" w:rsidRPr="00E019E6">
                <w:rPr>
                  <w:rStyle w:val="Hyperlink"/>
                </w:rPr>
                <w:t>Table Columns for Results - Tabular [Overview]</w:t>
              </w:r>
            </w:hyperlink>
            <w:r w:rsidR="00D540E6">
              <w:t xml:space="preserve"> below.</w:t>
            </w:r>
          </w:p>
        </w:tc>
      </w:tr>
      <w:tr w:rsidR="00DA7083" w14:paraId="202A1807" w14:textId="77777777" w:rsidTr="00DA57B4">
        <w:tc>
          <w:tcPr>
            <w:cnfStyle w:val="001000000000" w:firstRow="0" w:lastRow="0" w:firstColumn="1" w:lastColumn="0" w:oddVBand="0" w:evenVBand="0" w:oddHBand="0" w:evenHBand="0" w:firstRowFirstColumn="0" w:firstRowLastColumn="0" w:lastRowFirstColumn="0" w:lastRowLastColumn="0"/>
            <w:tcW w:w="1885" w:type="dxa"/>
          </w:tcPr>
          <w:p w14:paraId="1C3AFCF8" w14:textId="77777777" w:rsidR="00DA7083" w:rsidRDefault="00DA7083" w:rsidP="002B3936">
            <w:r>
              <w:lastRenderedPageBreak/>
              <w:t>Tax Details</w:t>
            </w:r>
          </w:p>
        </w:tc>
        <w:tc>
          <w:tcPr>
            <w:tcW w:w="7380" w:type="dxa"/>
          </w:tcPr>
          <w:p w14:paraId="1E077BEE" w14:textId="77777777" w:rsidR="00DA7083" w:rsidRDefault="00D540E6" w:rsidP="002B3936">
            <w:pPr>
              <w:cnfStyle w:val="000000000000" w:firstRow="0" w:lastRow="0" w:firstColumn="0" w:lastColumn="0" w:oddVBand="0" w:evenVBand="0" w:oddHBand="0" w:evenHBand="0" w:firstRowFirstColumn="0" w:firstRowLastColumn="0" w:lastRowFirstColumn="0" w:lastRowLastColumn="0"/>
            </w:pPr>
            <w:r>
              <w:t>Each row represents a specific year and provides a year-by-year report on the various taxes related to that year. For a description of the values presented see</w:t>
            </w:r>
            <w:r w:rsidR="00E019E6">
              <w:t xml:space="preserve"> </w:t>
            </w:r>
            <w:hyperlink w:anchor="_Table_Columns_for_1" w:history="1">
              <w:r w:rsidR="00E019E6" w:rsidRPr="00E019E6">
                <w:rPr>
                  <w:rStyle w:val="Hyperlink"/>
                </w:rPr>
                <w:t>Table Columns for Results - Tabular [Tax Details]</w:t>
              </w:r>
            </w:hyperlink>
          </w:p>
        </w:tc>
      </w:tr>
      <w:tr w:rsidR="00DA7083" w14:paraId="23095A4D" w14:textId="77777777" w:rsidTr="00DA57B4">
        <w:tc>
          <w:tcPr>
            <w:cnfStyle w:val="001000000000" w:firstRow="0" w:lastRow="0" w:firstColumn="1" w:lastColumn="0" w:oddVBand="0" w:evenVBand="0" w:oddHBand="0" w:evenHBand="0" w:firstRowFirstColumn="0" w:firstRowLastColumn="0" w:lastRowFirstColumn="0" w:lastRowLastColumn="0"/>
            <w:tcW w:w="1885" w:type="dxa"/>
          </w:tcPr>
          <w:p w14:paraId="09E891B9" w14:textId="77777777" w:rsidR="00DA7083" w:rsidRDefault="00DA7083" w:rsidP="002B3936">
            <w:r>
              <w:t>Account Details</w:t>
            </w:r>
          </w:p>
        </w:tc>
        <w:tc>
          <w:tcPr>
            <w:tcW w:w="7380" w:type="dxa"/>
          </w:tcPr>
          <w:p w14:paraId="3A2B1D21" w14:textId="77777777" w:rsidR="00DA7083" w:rsidRDefault="00E019E6" w:rsidP="002B3936">
            <w:pPr>
              <w:cnfStyle w:val="000000000000" w:firstRow="0" w:lastRow="0" w:firstColumn="0" w:lastColumn="0" w:oddVBand="0" w:evenVBand="0" w:oddHBand="0" w:evenHBand="0" w:firstRowFirstColumn="0" w:firstRowLastColumn="0" w:lastRowFirstColumn="0" w:lastRowLastColumn="0"/>
            </w:pPr>
            <w:r>
              <w:t>Each row represents a specific year and each column (one per configured account) provides a year-by-year report on the account balance for that year.</w:t>
            </w:r>
          </w:p>
        </w:tc>
      </w:tr>
    </w:tbl>
    <w:p w14:paraId="38D9F13F" w14:textId="77777777" w:rsidR="00DA7083" w:rsidRDefault="00DA7083" w:rsidP="00073DAB">
      <w:pPr>
        <w:pStyle w:val="Heading4"/>
      </w:pPr>
    </w:p>
    <w:p w14:paraId="1C08DD59" w14:textId="77777777" w:rsidR="00073DAB" w:rsidRDefault="00073DAB" w:rsidP="00073DAB">
      <w:pPr>
        <w:pStyle w:val="Heading4"/>
      </w:pPr>
      <w:bookmarkStart w:id="0" w:name="_Results_-_Overview"/>
      <w:bookmarkStart w:id="1" w:name="_Table_Columns_for"/>
      <w:bookmarkEnd w:id="0"/>
      <w:bookmarkEnd w:id="1"/>
      <w:r>
        <w:t>Table Columns</w:t>
      </w:r>
      <w:r w:rsidR="008011CE">
        <w:t xml:space="preserve"> for Results - Tabular [Overview]</w:t>
      </w:r>
    </w:p>
    <w:tbl>
      <w:tblPr>
        <w:tblStyle w:val="GridTable4-Accent5"/>
        <w:tblW w:w="0" w:type="auto"/>
        <w:tblLook w:val="06A0" w:firstRow="1" w:lastRow="0" w:firstColumn="1" w:lastColumn="0" w:noHBand="1" w:noVBand="1"/>
      </w:tblPr>
      <w:tblGrid>
        <w:gridCol w:w="1975"/>
        <w:gridCol w:w="7290"/>
      </w:tblGrid>
      <w:tr w:rsidR="00073DAB" w14:paraId="488C4171" w14:textId="77777777" w:rsidTr="00DA57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B20628C" w14:textId="77777777" w:rsidR="00073DAB" w:rsidRDefault="00073DAB" w:rsidP="002B3936">
            <w:pPr>
              <w:keepNext/>
            </w:pPr>
            <w:r>
              <w:t>Column Name</w:t>
            </w:r>
          </w:p>
        </w:tc>
        <w:tc>
          <w:tcPr>
            <w:tcW w:w="7290" w:type="dxa"/>
          </w:tcPr>
          <w:p w14:paraId="447145B6" w14:textId="6014C9F9" w:rsidR="00073DAB" w:rsidRDefault="0027346B" w:rsidP="002B3936">
            <w:pPr>
              <w:keepNext/>
              <w:cnfStyle w:val="100000000000" w:firstRow="1" w:lastRow="0" w:firstColumn="0" w:lastColumn="0" w:oddVBand="0" w:evenVBand="0" w:oddHBand="0" w:evenHBand="0" w:firstRowFirstColumn="0" w:firstRowLastColumn="0" w:lastRowFirstColumn="0" w:lastRowLastColumn="0"/>
            </w:pPr>
            <w:r>
              <w:t>Column</w:t>
            </w:r>
            <w:r w:rsidR="00073DAB">
              <w:t xml:space="preserve"> Description</w:t>
            </w:r>
          </w:p>
        </w:tc>
      </w:tr>
      <w:tr w:rsidR="00073DAB" w14:paraId="72AD84FE"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47B75C39" w14:textId="77777777" w:rsidR="00073DAB" w:rsidRDefault="00073DAB" w:rsidP="002B3936">
            <w:r>
              <w:t>Year</w:t>
            </w:r>
          </w:p>
        </w:tc>
        <w:tc>
          <w:tcPr>
            <w:tcW w:w="7290" w:type="dxa"/>
          </w:tcPr>
          <w:p w14:paraId="6059DE2E" w14:textId="77777777" w:rsidR="00073DAB" w:rsidRDefault="00073DAB" w:rsidP="002B3936">
            <w:pPr>
              <w:cnfStyle w:val="000000000000" w:firstRow="0" w:lastRow="0" w:firstColumn="0" w:lastColumn="0" w:oddVBand="0" w:evenVBand="0" w:oddHBand="0" w:evenHBand="0" w:firstRowFirstColumn="0" w:firstRowLastColumn="0" w:lastRowFirstColumn="0" w:lastRowLastColumn="0"/>
            </w:pPr>
            <w:r>
              <w:t>The year represented by this row.  Generally, year will run from the configured plan start date through the configured plan end date. However, should the plan not be feasible because there are insufficient funds to reach the plan end date, the table will only cover up to and including the year where all assets were exhausted.</w:t>
            </w:r>
          </w:p>
        </w:tc>
      </w:tr>
      <w:tr w:rsidR="00073DAB" w14:paraId="1A6BE206"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05D3EEE6" w14:textId="77777777" w:rsidR="00073DAB" w:rsidRDefault="00073DAB" w:rsidP="002B3936">
            <w:r>
              <w:t>Total Assets</w:t>
            </w:r>
          </w:p>
        </w:tc>
        <w:tc>
          <w:tcPr>
            <w:tcW w:w="7290" w:type="dxa"/>
          </w:tcPr>
          <w:p w14:paraId="2E80B350" w14:textId="77777777" w:rsidR="00073DAB" w:rsidRDefault="00E019E6" w:rsidP="002B3936">
            <w:pPr>
              <w:cnfStyle w:val="000000000000" w:firstRow="0" w:lastRow="0" w:firstColumn="0" w:lastColumn="0" w:oddVBand="0" w:evenVBand="0" w:oddHBand="0" w:evenHBand="0" w:firstRowFirstColumn="0" w:firstRowLastColumn="0" w:lastRowFirstColumn="0" w:lastRowLastColumn="0"/>
            </w:pPr>
            <w:r>
              <w:t xml:space="preserve">The total available assets at the end of that year. </w:t>
            </w:r>
          </w:p>
        </w:tc>
      </w:tr>
      <w:tr w:rsidR="00073DAB" w14:paraId="0E6F4444"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37CAD17A" w14:textId="77777777" w:rsidR="00073DAB" w:rsidRDefault="00073DAB" w:rsidP="002B3936">
            <w:r>
              <w:t>Savings Assets</w:t>
            </w:r>
          </w:p>
        </w:tc>
        <w:tc>
          <w:tcPr>
            <w:tcW w:w="7290" w:type="dxa"/>
          </w:tcPr>
          <w:p w14:paraId="7AD3123A" w14:textId="77777777" w:rsidR="00073DAB" w:rsidRDefault="00E019E6" w:rsidP="00E019E6">
            <w:pPr>
              <w:cnfStyle w:val="000000000000" w:firstRow="0" w:lastRow="0" w:firstColumn="0" w:lastColumn="0" w:oddVBand="0" w:evenVBand="0" w:oddHBand="0" w:evenHBand="0" w:firstRowFirstColumn="0" w:firstRowLastColumn="0" w:lastRowFirstColumn="0" w:lastRowLastColumn="0"/>
            </w:pPr>
            <w:r>
              <w:t>The total available assets in accounts of type “Savings/CD</w:t>
            </w:r>
            <w:r w:rsidRPr="003B0D68">
              <w:t>”</w:t>
            </w:r>
            <w:r>
              <w:t xml:space="preserve"> at the end of that year.</w:t>
            </w:r>
          </w:p>
        </w:tc>
      </w:tr>
      <w:tr w:rsidR="00E019E6" w14:paraId="21661631"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5D9AAEA8" w14:textId="77777777" w:rsidR="00E019E6" w:rsidRDefault="00E019E6" w:rsidP="00E019E6">
            <w:r>
              <w:t>Brokerage Assets</w:t>
            </w:r>
          </w:p>
        </w:tc>
        <w:tc>
          <w:tcPr>
            <w:tcW w:w="7290" w:type="dxa"/>
          </w:tcPr>
          <w:p w14:paraId="122B4797" w14:textId="77777777" w:rsidR="00E019E6" w:rsidRDefault="00E019E6" w:rsidP="00E019E6">
            <w:pPr>
              <w:cnfStyle w:val="000000000000" w:firstRow="0" w:lastRow="0" w:firstColumn="0" w:lastColumn="0" w:oddVBand="0" w:evenVBand="0" w:oddHBand="0" w:evenHBand="0" w:firstRowFirstColumn="0" w:firstRowLastColumn="0" w:lastRowFirstColumn="0" w:lastRowLastColumn="0"/>
            </w:pPr>
            <w:r>
              <w:t xml:space="preserve">The total available assets in accounts of type </w:t>
            </w:r>
            <w:r w:rsidRPr="003B0D68">
              <w:t>“</w:t>
            </w:r>
            <w:r>
              <w:t>Brokerage</w:t>
            </w:r>
            <w:r w:rsidRPr="003B0D68">
              <w:t>”.</w:t>
            </w:r>
            <w:r>
              <w:t xml:space="preserve"> at the end of that year.</w:t>
            </w:r>
          </w:p>
        </w:tc>
      </w:tr>
      <w:tr w:rsidR="00E019E6" w14:paraId="02570787"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646E2154" w14:textId="77777777" w:rsidR="00E019E6" w:rsidRDefault="00E019E6" w:rsidP="00E019E6">
            <w:r>
              <w:t>IRA Assets</w:t>
            </w:r>
          </w:p>
        </w:tc>
        <w:tc>
          <w:tcPr>
            <w:tcW w:w="7290" w:type="dxa"/>
          </w:tcPr>
          <w:p w14:paraId="700170F3" w14:textId="77777777" w:rsidR="00E019E6" w:rsidRDefault="00E019E6" w:rsidP="00E019E6">
            <w:pPr>
              <w:cnfStyle w:val="000000000000" w:firstRow="0" w:lastRow="0" w:firstColumn="0" w:lastColumn="0" w:oddVBand="0" w:evenVBand="0" w:oddHBand="0" w:evenHBand="0" w:firstRowFirstColumn="0" w:firstRowLastColumn="0" w:lastRowFirstColumn="0" w:lastRowLastColumn="0"/>
            </w:pPr>
            <w:r>
              <w:t xml:space="preserve">The total available assets in accounts of type </w:t>
            </w:r>
            <w:r w:rsidRPr="003B0D68">
              <w:t>““</w:t>
            </w:r>
            <w:r>
              <w:t>Traditional IRA</w:t>
            </w:r>
            <w:r w:rsidRPr="003B0D68">
              <w:t>”</w:t>
            </w:r>
            <w:r>
              <w:t xml:space="preserve"> at the end of that year.</w:t>
            </w:r>
          </w:p>
        </w:tc>
      </w:tr>
      <w:tr w:rsidR="00E019E6" w14:paraId="4386ABB5"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5FC87313" w14:textId="77777777" w:rsidR="00E019E6" w:rsidRDefault="00E019E6" w:rsidP="00E019E6">
            <w:r>
              <w:t>Roth Assets</w:t>
            </w:r>
          </w:p>
        </w:tc>
        <w:tc>
          <w:tcPr>
            <w:tcW w:w="7290" w:type="dxa"/>
          </w:tcPr>
          <w:p w14:paraId="27F3801D" w14:textId="77777777" w:rsidR="00E019E6" w:rsidRDefault="00E019E6" w:rsidP="00E019E6">
            <w:pPr>
              <w:cnfStyle w:val="000000000000" w:firstRow="0" w:lastRow="0" w:firstColumn="0" w:lastColumn="0" w:oddVBand="0" w:evenVBand="0" w:oddHBand="0" w:evenHBand="0" w:firstRowFirstColumn="0" w:firstRowLastColumn="0" w:lastRowFirstColumn="0" w:lastRowLastColumn="0"/>
            </w:pPr>
            <w:r>
              <w:t xml:space="preserve">The total available assets in accounts of type </w:t>
            </w:r>
            <w:r w:rsidRPr="003B0D68">
              <w:t>“</w:t>
            </w:r>
            <w:r>
              <w:t>Roth IRA</w:t>
            </w:r>
            <w:r w:rsidRPr="003B0D68">
              <w:t>”</w:t>
            </w:r>
            <w:r>
              <w:t xml:space="preserve"> at the end of that year.</w:t>
            </w:r>
          </w:p>
        </w:tc>
      </w:tr>
      <w:tr w:rsidR="00E019E6" w14:paraId="42C1D56E"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20760A0F" w14:textId="77777777" w:rsidR="00E019E6" w:rsidRDefault="00E019E6" w:rsidP="00E019E6">
            <w:r>
              <w:t>Total Income</w:t>
            </w:r>
          </w:p>
        </w:tc>
        <w:tc>
          <w:tcPr>
            <w:tcW w:w="7290" w:type="dxa"/>
          </w:tcPr>
          <w:p w14:paraId="6B6CA9FA" w14:textId="77777777" w:rsidR="00E019E6" w:rsidRPr="003B0D68" w:rsidRDefault="00E019E6" w:rsidP="00E019E6">
            <w:pPr>
              <w:cnfStyle w:val="000000000000" w:firstRow="0" w:lastRow="0" w:firstColumn="0" w:lastColumn="0" w:oddVBand="0" w:evenVBand="0" w:oddHBand="0" w:evenHBand="0" w:firstRowFirstColumn="0" w:firstRowLastColumn="0" w:lastRowFirstColumn="0" w:lastRowLastColumn="0"/>
            </w:pPr>
            <w:r>
              <w:t xml:space="preserve">The total income earned </w:t>
            </w:r>
            <w:r w:rsidR="00A01ADE">
              <w:t>for that year.</w:t>
            </w:r>
          </w:p>
        </w:tc>
      </w:tr>
      <w:tr w:rsidR="00E019E6" w14:paraId="04D80FC5"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2125AF4F" w14:textId="77777777" w:rsidR="00E019E6" w:rsidRDefault="00E019E6" w:rsidP="00E019E6">
            <w:r>
              <w:t>RMDs</w:t>
            </w:r>
          </w:p>
        </w:tc>
        <w:tc>
          <w:tcPr>
            <w:tcW w:w="7290" w:type="dxa"/>
          </w:tcPr>
          <w:p w14:paraId="3DC33514" w14:textId="77777777" w:rsidR="00E019E6" w:rsidRDefault="00A01ADE" w:rsidP="00E019E6">
            <w:pPr>
              <w:cnfStyle w:val="000000000000" w:firstRow="0" w:lastRow="0" w:firstColumn="0" w:lastColumn="0" w:oddVBand="0" w:evenVBand="0" w:oddHBand="0" w:evenHBand="0" w:firstRowFirstColumn="0" w:firstRowLastColumn="0" w:lastRowFirstColumn="0" w:lastRowLastColumn="0"/>
            </w:pPr>
            <w:r>
              <w:t>The amount of Required Minimum Distributions that were taken that year.</w:t>
            </w:r>
          </w:p>
        </w:tc>
      </w:tr>
      <w:tr w:rsidR="00E019E6" w14:paraId="43E89A39"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6FE1A153" w14:textId="77777777" w:rsidR="00E019E6" w:rsidRDefault="00E019E6" w:rsidP="00E019E6">
            <w:r>
              <w:t>Roth Conversions</w:t>
            </w:r>
          </w:p>
        </w:tc>
        <w:tc>
          <w:tcPr>
            <w:tcW w:w="7290" w:type="dxa"/>
          </w:tcPr>
          <w:p w14:paraId="3DF6E629" w14:textId="77777777" w:rsidR="00E019E6" w:rsidRDefault="00A01ADE" w:rsidP="00E019E6">
            <w:pPr>
              <w:cnfStyle w:val="000000000000" w:firstRow="0" w:lastRow="0" w:firstColumn="0" w:lastColumn="0" w:oddVBand="0" w:evenVBand="0" w:oddHBand="0" w:evenHBand="0" w:firstRowFirstColumn="0" w:firstRowLastColumn="0" w:lastRowFirstColumn="0" w:lastRowLastColumn="0"/>
            </w:pPr>
            <w:r>
              <w:t>The amount of Roth Conversions that were performed that year.</w:t>
            </w:r>
          </w:p>
        </w:tc>
      </w:tr>
      <w:tr w:rsidR="00E019E6" w14:paraId="78473FC4"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4D7142B1" w14:textId="77777777" w:rsidR="00E019E6" w:rsidRDefault="00E019E6" w:rsidP="00E019E6">
            <w:r>
              <w:t>Yearly Taxes</w:t>
            </w:r>
          </w:p>
        </w:tc>
        <w:tc>
          <w:tcPr>
            <w:tcW w:w="7290" w:type="dxa"/>
          </w:tcPr>
          <w:p w14:paraId="0D184CCE" w14:textId="77777777" w:rsidR="00E019E6" w:rsidRPr="003B0D68" w:rsidRDefault="00A01ADE" w:rsidP="00E019E6">
            <w:pPr>
              <w:cnfStyle w:val="000000000000" w:firstRow="0" w:lastRow="0" w:firstColumn="0" w:lastColumn="0" w:oddVBand="0" w:evenVBand="0" w:oddHBand="0" w:evenHBand="0" w:firstRowFirstColumn="0" w:firstRowLastColumn="0" w:lastRowFirstColumn="0" w:lastRowLastColumn="0"/>
            </w:pPr>
            <w:r>
              <w:t>The amount of taxes (</w:t>
            </w:r>
            <w:r w:rsidR="00E019E6">
              <w:t>Federal Income Taxes, State Income Taxes, Local Income Taxes, FICA Income Taxes, Medicare Income Taxes, and IRMAA Taxes</w:t>
            </w:r>
            <w:r>
              <w:t>) paid in that year.</w:t>
            </w:r>
          </w:p>
        </w:tc>
      </w:tr>
    </w:tbl>
    <w:p w14:paraId="6066469A" w14:textId="77777777" w:rsidR="00073DAB" w:rsidRDefault="00073DAB" w:rsidP="00073DAB"/>
    <w:p w14:paraId="4EAF5A49" w14:textId="77777777" w:rsidR="00D540E6" w:rsidRDefault="008011CE" w:rsidP="008011CE">
      <w:pPr>
        <w:pStyle w:val="Heading4"/>
      </w:pPr>
      <w:bookmarkStart w:id="2" w:name="_Table_Columns_for_1"/>
      <w:bookmarkEnd w:id="2"/>
      <w:r>
        <w:t>Table Columns for Results - Tabular [Tax Details]</w:t>
      </w:r>
    </w:p>
    <w:tbl>
      <w:tblPr>
        <w:tblStyle w:val="GridTable4-Accent5"/>
        <w:tblW w:w="0" w:type="auto"/>
        <w:tblLook w:val="06A0" w:firstRow="1" w:lastRow="0" w:firstColumn="1" w:lastColumn="0" w:noHBand="1" w:noVBand="1"/>
      </w:tblPr>
      <w:tblGrid>
        <w:gridCol w:w="1975"/>
        <w:gridCol w:w="7290"/>
      </w:tblGrid>
      <w:tr w:rsidR="00A01ADE" w14:paraId="3003CA79" w14:textId="77777777" w:rsidTr="00DA57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8278247" w14:textId="77777777" w:rsidR="00A01ADE" w:rsidRDefault="00A01ADE" w:rsidP="002B3936">
            <w:pPr>
              <w:keepNext/>
            </w:pPr>
            <w:r>
              <w:t>Column Name</w:t>
            </w:r>
          </w:p>
        </w:tc>
        <w:tc>
          <w:tcPr>
            <w:tcW w:w="7290" w:type="dxa"/>
          </w:tcPr>
          <w:p w14:paraId="5EBDBCE0" w14:textId="2A2F0B10" w:rsidR="00A01ADE" w:rsidRDefault="008B75D1" w:rsidP="002B3936">
            <w:pPr>
              <w:keepNext/>
              <w:cnfStyle w:val="100000000000" w:firstRow="1" w:lastRow="0" w:firstColumn="0" w:lastColumn="0" w:oddVBand="0" w:evenVBand="0" w:oddHBand="0" w:evenHBand="0" w:firstRowFirstColumn="0" w:firstRowLastColumn="0" w:lastRowFirstColumn="0" w:lastRowLastColumn="0"/>
            </w:pPr>
            <w:r>
              <w:t>Column</w:t>
            </w:r>
            <w:r w:rsidR="00A01ADE">
              <w:t xml:space="preserve"> Description</w:t>
            </w:r>
          </w:p>
        </w:tc>
      </w:tr>
      <w:tr w:rsidR="00A01ADE" w14:paraId="13544BCA"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1C7B496B" w14:textId="77777777" w:rsidR="00A01ADE" w:rsidRDefault="00A01ADE" w:rsidP="002B3936">
            <w:r>
              <w:t>Year</w:t>
            </w:r>
          </w:p>
        </w:tc>
        <w:tc>
          <w:tcPr>
            <w:tcW w:w="7290" w:type="dxa"/>
          </w:tcPr>
          <w:p w14:paraId="40BC4FF5" w14:textId="77777777" w:rsidR="00A01ADE" w:rsidRDefault="00A01ADE" w:rsidP="002B3936">
            <w:pPr>
              <w:cnfStyle w:val="000000000000" w:firstRow="0" w:lastRow="0" w:firstColumn="0" w:lastColumn="0" w:oddVBand="0" w:evenVBand="0" w:oddHBand="0" w:evenHBand="0" w:firstRowFirstColumn="0" w:firstRowLastColumn="0" w:lastRowFirstColumn="0" w:lastRowLastColumn="0"/>
            </w:pPr>
            <w:r>
              <w:t>The year represented by this row.  Generally, year will run from the configured plan start date through the configured plan end date. However, should the plan not be feasible because there are insufficient funds to reach the plan end date, the table will only cover up to and including the year where all assets were exhausted.</w:t>
            </w:r>
          </w:p>
        </w:tc>
      </w:tr>
      <w:tr w:rsidR="00A01ADE" w14:paraId="3504C728"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23EC396F" w14:textId="77777777" w:rsidR="00A01ADE" w:rsidRDefault="00A01ADE" w:rsidP="002B3936">
            <w:r>
              <w:t>Federal MAGI</w:t>
            </w:r>
          </w:p>
        </w:tc>
        <w:tc>
          <w:tcPr>
            <w:tcW w:w="7290" w:type="dxa"/>
          </w:tcPr>
          <w:p w14:paraId="386421E1" w14:textId="77777777" w:rsidR="00A01ADE" w:rsidRDefault="00A01ADE" w:rsidP="002B3936">
            <w:pPr>
              <w:cnfStyle w:val="000000000000" w:firstRow="0" w:lastRow="0" w:firstColumn="0" w:lastColumn="0" w:oddVBand="0" w:evenVBand="0" w:oddHBand="0" w:evenHBand="0" w:firstRowFirstColumn="0" w:firstRowLastColumn="0" w:lastRowFirstColumn="0" w:lastRowLastColumn="0"/>
            </w:pPr>
            <w:r>
              <w:t>The estimated federal modified adjusted gross income for the year.</w:t>
            </w:r>
          </w:p>
          <w:p w14:paraId="7474844F" w14:textId="77777777" w:rsidR="00A01ADE" w:rsidRDefault="00A01ADE" w:rsidP="002B3936">
            <w:pPr>
              <w:cnfStyle w:val="000000000000" w:firstRow="0" w:lastRow="0" w:firstColumn="0" w:lastColumn="0" w:oddVBand="0" w:evenVBand="0" w:oddHBand="0" w:evenHBand="0" w:firstRowFirstColumn="0" w:firstRowLastColumn="0" w:lastRowFirstColumn="0" w:lastRowLastColumn="0"/>
            </w:pPr>
            <w:r>
              <w:t xml:space="preserve">Note: For scenarios that use the MAGI limit option, users should be aware that the algorithm insures (a) that the MAGI is below that limit and (b) that it within a percent of the configured limit.  </w:t>
            </w:r>
            <w:r w:rsidR="00DA57B4">
              <w:t>Do NOT expect it to be exactly at the configured limit.</w:t>
            </w:r>
          </w:p>
        </w:tc>
      </w:tr>
      <w:tr w:rsidR="00A01ADE" w14:paraId="778D69DC"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13591822" w14:textId="77777777" w:rsidR="00A01ADE" w:rsidRDefault="00DA57B4" w:rsidP="002B3936">
            <w:r>
              <w:t>Cumulative Taxes</w:t>
            </w:r>
          </w:p>
        </w:tc>
        <w:tc>
          <w:tcPr>
            <w:tcW w:w="7290" w:type="dxa"/>
          </w:tcPr>
          <w:p w14:paraId="5BFF9895" w14:textId="77777777" w:rsidR="00A01ADE" w:rsidRDefault="00DA57B4" w:rsidP="002B3936">
            <w:pPr>
              <w:cnfStyle w:val="000000000000" w:firstRow="0" w:lastRow="0" w:firstColumn="0" w:lastColumn="0" w:oddVBand="0" w:evenVBand="0" w:oddHBand="0" w:evenHBand="0" w:firstRowFirstColumn="0" w:firstRowLastColumn="0" w:lastRowFirstColumn="0" w:lastRowLastColumn="0"/>
            </w:pPr>
            <w:r>
              <w:t>The year over year accumulation of the yearly taxes paid up to that year.</w:t>
            </w:r>
          </w:p>
        </w:tc>
      </w:tr>
      <w:tr w:rsidR="00A01ADE" w14:paraId="7A8243FC"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0723260B" w14:textId="77777777" w:rsidR="00A01ADE" w:rsidRDefault="00DA57B4" w:rsidP="002B3936">
            <w:r>
              <w:lastRenderedPageBreak/>
              <w:t>Total Taxes</w:t>
            </w:r>
          </w:p>
        </w:tc>
        <w:tc>
          <w:tcPr>
            <w:tcW w:w="7290" w:type="dxa"/>
          </w:tcPr>
          <w:p w14:paraId="6A7736E8" w14:textId="77777777" w:rsidR="00A01ADE" w:rsidRDefault="00DA57B4" w:rsidP="002B3936">
            <w:pPr>
              <w:cnfStyle w:val="000000000000" w:firstRow="0" w:lastRow="0" w:firstColumn="0" w:lastColumn="0" w:oddVBand="0" w:evenVBand="0" w:oddHBand="0" w:evenHBand="0" w:firstRowFirstColumn="0" w:firstRowLastColumn="0" w:lastRowFirstColumn="0" w:lastRowLastColumn="0"/>
            </w:pPr>
            <w:r>
              <w:t>The sum of ALL of the taxes paid for that year.  That is, all of the Federal Income Taxes, State Income Taxes, Local Income Taxes, FICA Income Taxes, Medicare Income Taxes, and IRMAA Taxes.</w:t>
            </w:r>
          </w:p>
        </w:tc>
      </w:tr>
      <w:tr w:rsidR="00A01ADE" w14:paraId="558D6571"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7277155A" w14:textId="77777777" w:rsidR="00A01ADE" w:rsidRDefault="00DA57B4" w:rsidP="002B3936">
            <w:r>
              <w:t>Federal Taxes</w:t>
            </w:r>
          </w:p>
        </w:tc>
        <w:tc>
          <w:tcPr>
            <w:tcW w:w="7290" w:type="dxa"/>
          </w:tcPr>
          <w:p w14:paraId="5D7B12CF" w14:textId="77777777" w:rsidR="00A01ADE" w:rsidRDefault="00DA57B4" w:rsidP="002B3936">
            <w:pPr>
              <w:cnfStyle w:val="000000000000" w:firstRow="0" w:lastRow="0" w:firstColumn="0" w:lastColumn="0" w:oddVBand="0" w:evenVBand="0" w:oddHBand="0" w:evenHBand="0" w:firstRowFirstColumn="0" w:firstRowLastColumn="0" w:lastRowFirstColumn="0" w:lastRowLastColumn="0"/>
            </w:pPr>
            <w:r>
              <w:t xml:space="preserve">The federal income taxes paid in that year.  </w:t>
            </w:r>
          </w:p>
        </w:tc>
      </w:tr>
      <w:tr w:rsidR="00A01ADE" w14:paraId="68EF0F0F"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2C797C84" w14:textId="77777777" w:rsidR="00A01ADE" w:rsidRDefault="00DA57B4" w:rsidP="002B3936">
            <w:r>
              <w:t>State Taxes</w:t>
            </w:r>
          </w:p>
        </w:tc>
        <w:tc>
          <w:tcPr>
            <w:tcW w:w="7290" w:type="dxa"/>
          </w:tcPr>
          <w:p w14:paraId="4BAA8CF9" w14:textId="77777777" w:rsidR="00A01ADE" w:rsidRDefault="00DA57B4" w:rsidP="002B3936">
            <w:pPr>
              <w:cnfStyle w:val="000000000000" w:firstRow="0" w:lastRow="0" w:firstColumn="0" w:lastColumn="0" w:oddVBand="0" w:evenVBand="0" w:oddHBand="0" w:evenHBand="0" w:firstRowFirstColumn="0" w:firstRowLastColumn="0" w:lastRowFirstColumn="0" w:lastRowLastColumn="0"/>
            </w:pPr>
            <w:r>
              <w:t xml:space="preserve">The state income taxes paid in that year.  </w:t>
            </w:r>
          </w:p>
        </w:tc>
      </w:tr>
      <w:tr w:rsidR="00A01ADE" w14:paraId="624862CE"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3621B427" w14:textId="77777777" w:rsidR="00A01ADE" w:rsidRDefault="00DA57B4" w:rsidP="002B3936">
            <w:r>
              <w:t>Local Taxes</w:t>
            </w:r>
          </w:p>
        </w:tc>
        <w:tc>
          <w:tcPr>
            <w:tcW w:w="7290" w:type="dxa"/>
          </w:tcPr>
          <w:p w14:paraId="4608FFC1" w14:textId="77777777" w:rsidR="00A01ADE" w:rsidRPr="003B0D68" w:rsidRDefault="00DA57B4" w:rsidP="002B3936">
            <w:pPr>
              <w:cnfStyle w:val="000000000000" w:firstRow="0" w:lastRow="0" w:firstColumn="0" w:lastColumn="0" w:oddVBand="0" w:evenVBand="0" w:oddHBand="0" w:evenHBand="0" w:firstRowFirstColumn="0" w:firstRowLastColumn="0" w:lastRowFirstColumn="0" w:lastRowLastColumn="0"/>
            </w:pPr>
            <w:r>
              <w:t xml:space="preserve">The local income taxes paid in that year.  </w:t>
            </w:r>
          </w:p>
        </w:tc>
      </w:tr>
      <w:tr w:rsidR="00DA57B4" w14:paraId="364037BD"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0E0374EC" w14:textId="77777777" w:rsidR="00DA57B4" w:rsidRDefault="00DA57B4" w:rsidP="00DA57B4">
            <w:r>
              <w:t>FICA Taxes</w:t>
            </w:r>
          </w:p>
        </w:tc>
        <w:tc>
          <w:tcPr>
            <w:tcW w:w="7290" w:type="dxa"/>
          </w:tcPr>
          <w:p w14:paraId="35A92D6B" w14:textId="77777777" w:rsidR="00DA57B4" w:rsidRPr="003B0D68" w:rsidRDefault="00DA57B4" w:rsidP="00DA57B4">
            <w:pPr>
              <w:cnfStyle w:val="000000000000" w:firstRow="0" w:lastRow="0" w:firstColumn="0" w:lastColumn="0" w:oddVBand="0" w:evenVBand="0" w:oddHBand="0" w:evenHBand="0" w:firstRowFirstColumn="0" w:firstRowLastColumn="0" w:lastRowFirstColumn="0" w:lastRowLastColumn="0"/>
            </w:pPr>
            <w:r>
              <w:t xml:space="preserve">The FICA income taxes paid in that year.  </w:t>
            </w:r>
          </w:p>
        </w:tc>
      </w:tr>
      <w:tr w:rsidR="00DA57B4" w14:paraId="2449FB69"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58A72DA4" w14:textId="77777777" w:rsidR="00DA57B4" w:rsidRDefault="00DA57B4" w:rsidP="00DA57B4">
            <w:r>
              <w:t>Medicare Taxes</w:t>
            </w:r>
          </w:p>
        </w:tc>
        <w:tc>
          <w:tcPr>
            <w:tcW w:w="7290" w:type="dxa"/>
          </w:tcPr>
          <w:p w14:paraId="208EE092" w14:textId="77777777" w:rsidR="00DA57B4" w:rsidRDefault="00DA57B4" w:rsidP="00DA57B4">
            <w:pPr>
              <w:cnfStyle w:val="000000000000" w:firstRow="0" w:lastRow="0" w:firstColumn="0" w:lastColumn="0" w:oddVBand="0" w:evenVBand="0" w:oddHBand="0" w:evenHBand="0" w:firstRowFirstColumn="0" w:firstRowLastColumn="0" w:lastRowFirstColumn="0" w:lastRowLastColumn="0"/>
            </w:pPr>
            <w:r>
              <w:t xml:space="preserve">The Medicare income taxes paid in that year.  </w:t>
            </w:r>
          </w:p>
        </w:tc>
      </w:tr>
      <w:tr w:rsidR="00DA57B4" w14:paraId="1663706A" w14:textId="77777777" w:rsidTr="00DA57B4">
        <w:tc>
          <w:tcPr>
            <w:cnfStyle w:val="001000000000" w:firstRow="0" w:lastRow="0" w:firstColumn="1" w:lastColumn="0" w:oddVBand="0" w:evenVBand="0" w:oddHBand="0" w:evenHBand="0" w:firstRowFirstColumn="0" w:firstRowLastColumn="0" w:lastRowFirstColumn="0" w:lastRowLastColumn="0"/>
            <w:tcW w:w="1975" w:type="dxa"/>
          </w:tcPr>
          <w:p w14:paraId="453EB1BA" w14:textId="77777777" w:rsidR="00DA57B4" w:rsidRDefault="00DA57B4" w:rsidP="00DA57B4">
            <w:r>
              <w:t>IRMAA Taxes</w:t>
            </w:r>
          </w:p>
        </w:tc>
        <w:tc>
          <w:tcPr>
            <w:tcW w:w="7290" w:type="dxa"/>
          </w:tcPr>
          <w:p w14:paraId="11350A75" w14:textId="77777777" w:rsidR="00DA57B4" w:rsidRDefault="00DA57B4" w:rsidP="00DA57B4">
            <w:pPr>
              <w:cnfStyle w:val="000000000000" w:firstRow="0" w:lastRow="0" w:firstColumn="0" w:lastColumn="0" w:oddVBand="0" w:evenVBand="0" w:oddHBand="0" w:evenHBand="0" w:firstRowFirstColumn="0" w:firstRowLastColumn="0" w:lastRowFirstColumn="0" w:lastRowLastColumn="0"/>
            </w:pPr>
            <w:r>
              <w:t xml:space="preserve">The taxes related to an </w:t>
            </w:r>
            <w:r w:rsidRPr="00DA57B4">
              <w:t>Income-Related Monthly Adjustment Amount</w:t>
            </w:r>
            <w:r>
              <w:t xml:space="preserve"> that can be charged when your MAGI two years back reaches beyond a certain limit.</w:t>
            </w:r>
          </w:p>
          <w:p w14:paraId="3ADEF4D5" w14:textId="77777777" w:rsidR="00DA57B4" w:rsidRPr="003B0D68" w:rsidRDefault="00DA57B4" w:rsidP="00DA57B4">
            <w:pPr>
              <w:cnfStyle w:val="000000000000" w:firstRow="0" w:lastRow="0" w:firstColumn="0" w:lastColumn="0" w:oddVBand="0" w:evenVBand="0" w:oddHBand="0" w:evenHBand="0" w:firstRowFirstColumn="0" w:firstRowLastColumn="0" w:lastRowFirstColumn="0" w:lastRowLastColumn="0"/>
            </w:pPr>
            <w:r>
              <w:t xml:space="preserve">Note: The program currently has no way to know what the users MAGI was for the two years prior to the plan start. </w:t>
            </w:r>
            <w:r w:rsidR="009448A3">
              <w:t>Therefore,</w:t>
            </w:r>
            <w:r>
              <w:t xml:space="preserve"> the IRMAA for the first two years of the plan is always $0.00</w:t>
            </w:r>
          </w:p>
        </w:tc>
      </w:tr>
    </w:tbl>
    <w:p w14:paraId="7FDC4E99" w14:textId="77777777" w:rsidR="00073DAB" w:rsidRDefault="00073DAB" w:rsidP="00073DAB"/>
    <w:p w14:paraId="41C03759" w14:textId="77777777" w:rsidR="0079596C" w:rsidRDefault="0079596C" w:rsidP="0079596C">
      <w:pPr>
        <w:pStyle w:val="Heading3"/>
      </w:pPr>
      <w:r>
        <w:t>Results - Transaction Log</w:t>
      </w:r>
    </w:p>
    <w:p w14:paraId="06181D3D" w14:textId="77777777" w:rsidR="009448A3" w:rsidRDefault="009448A3" w:rsidP="0079596C">
      <w:r w:rsidRPr="009448A3">
        <w:rPr>
          <w:noProof/>
        </w:rPr>
        <w:drawing>
          <wp:inline distT="0" distB="0" distL="0" distR="0" wp14:anchorId="16A57C5A" wp14:editId="65A04A68">
            <wp:extent cx="5943600" cy="3787775"/>
            <wp:effectExtent l="0" t="0" r="0" b="0"/>
            <wp:docPr id="1887798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9833"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943600" cy="3787775"/>
                    </a:xfrm>
                    <a:prstGeom prst="rect">
                      <a:avLst/>
                    </a:prstGeom>
                  </pic:spPr>
                </pic:pic>
              </a:graphicData>
            </a:graphic>
          </wp:inline>
        </w:drawing>
      </w:r>
    </w:p>
    <w:p w14:paraId="662660B5" w14:textId="77777777" w:rsidR="009448A3" w:rsidRDefault="009448A3" w:rsidP="00ED701A">
      <w:r>
        <w:t xml:space="preserve">The applications algorithm operates by simulating </w:t>
      </w:r>
      <w:r w:rsidR="00ED701A">
        <w:t xml:space="preserve">year-by-year and month-by-month transactions.  This </w:t>
      </w:r>
      <w:r>
        <w:t xml:space="preserve">view provides </w:t>
      </w:r>
      <w:r w:rsidR="00ED701A">
        <w:t>a view of all of the simulated transactions as well as some year-end summary information.</w:t>
      </w:r>
    </w:p>
    <w:p w14:paraId="6958FEC1" w14:textId="77777777" w:rsidR="009448A3" w:rsidRDefault="009448A3" w:rsidP="00ED701A">
      <w:pPr>
        <w:pStyle w:val="Heading4"/>
      </w:pPr>
      <w:r>
        <w:t>Table Columns for Results - Transaction Log</w:t>
      </w:r>
    </w:p>
    <w:tbl>
      <w:tblPr>
        <w:tblStyle w:val="GridTable4-Accent5"/>
        <w:tblW w:w="0" w:type="auto"/>
        <w:tblLook w:val="06A0" w:firstRow="1" w:lastRow="0" w:firstColumn="1" w:lastColumn="0" w:noHBand="1" w:noVBand="1"/>
      </w:tblPr>
      <w:tblGrid>
        <w:gridCol w:w="1975"/>
        <w:gridCol w:w="7290"/>
      </w:tblGrid>
      <w:tr w:rsidR="00ED701A" w14:paraId="2B0BA025" w14:textId="77777777" w:rsidTr="002B3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6322DBF" w14:textId="77777777" w:rsidR="00ED701A" w:rsidRDefault="00ED701A" w:rsidP="002B3936">
            <w:pPr>
              <w:keepNext/>
            </w:pPr>
            <w:r>
              <w:t>Column Name</w:t>
            </w:r>
          </w:p>
        </w:tc>
        <w:tc>
          <w:tcPr>
            <w:tcW w:w="7290" w:type="dxa"/>
          </w:tcPr>
          <w:p w14:paraId="1E11C6FD" w14:textId="4185C4F0" w:rsidR="00ED701A" w:rsidRDefault="008B75D1" w:rsidP="002B3936">
            <w:pPr>
              <w:keepNext/>
              <w:cnfStyle w:val="100000000000" w:firstRow="1" w:lastRow="0" w:firstColumn="0" w:lastColumn="0" w:oddVBand="0" w:evenVBand="0" w:oddHBand="0" w:evenHBand="0" w:firstRowFirstColumn="0" w:firstRowLastColumn="0" w:lastRowFirstColumn="0" w:lastRowLastColumn="0"/>
            </w:pPr>
            <w:r>
              <w:t>Column</w:t>
            </w:r>
            <w:r w:rsidR="00ED701A">
              <w:t xml:space="preserve"> Description</w:t>
            </w:r>
          </w:p>
        </w:tc>
      </w:tr>
      <w:tr w:rsidR="00ED701A" w14:paraId="4A7814B3" w14:textId="77777777" w:rsidTr="002B3936">
        <w:tc>
          <w:tcPr>
            <w:cnfStyle w:val="001000000000" w:firstRow="0" w:lastRow="0" w:firstColumn="1" w:lastColumn="0" w:oddVBand="0" w:evenVBand="0" w:oddHBand="0" w:evenHBand="0" w:firstRowFirstColumn="0" w:firstRowLastColumn="0" w:lastRowFirstColumn="0" w:lastRowLastColumn="0"/>
            <w:tcW w:w="1975" w:type="dxa"/>
          </w:tcPr>
          <w:p w14:paraId="780B62CF" w14:textId="77777777" w:rsidR="00ED701A" w:rsidRPr="00ED701A" w:rsidRDefault="00ED701A" w:rsidP="002B3936">
            <w:pPr>
              <w:rPr>
                <w:b w:val="0"/>
                <w:bCs w:val="0"/>
              </w:rPr>
            </w:pPr>
            <w:r>
              <w:t>Year/Month</w:t>
            </w:r>
          </w:p>
        </w:tc>
        <w:tc>
          <w:tcPr>
            <w:tcW w:w="7290" w:type="dxa"/>
          </w:tcPr>
          <w:p w14:paraId="67DAA851" w14:textId="77777777" w:rsidR="00ED701A" w:rsidRDefault="00ED701A" w:rsidP="002B3936">
            <w:pPr>
              <w:cnfStyle w:val="000000000000" w:firstRow="0" w:lastRow="0" w:firstColumn="0" w:lastColumn="0" w:oddVBand="0" w:evenVBand="0" w:oddHBand="0" w:evenHBand="0" w:firstRowFirstColumn="0" w:firstRowLastColumn="0" w:lastRowFirstColumn="0" w:lastRowLastColumn="0"/>
            </w:pPr>
            <w:r>
              <w:t>The year and month (yyyy/mm) of the transaction represented this row</w:t>
            </w:r>
          </w:p>
        </w:tc>
      </w:tr>
      <w:tr w:rsidR="00ED701A" w14:paraId="3D16FFC6" w14:textId="77777777" w:rsidTr="002B3936">
        <w:tc>
          <w:tcPr>
            <w:cnfStyle w:val="001000000000" w:firstRow="0" w:lastRow="0" w:firstColumn="1" w:lastColumn="0" w:oddVBand="0" w:evenVBand="0" w:oddHBand="0" w:evenHBand="0" w:firstRowFirstColumn="0" w:firstRowLastColumn="0" w:lastRowFirstColumn="0" w:lastRowLastColumn="0"/>
            <w:tcW w:w="1975" w:type="dxa"/>
          </w:tcPr>
          <w:p w14:paraId="7BBEF8BB" w14:textId="77777777" w:rsidR="00ED701A" w:rsidRDefault="00ED701A" w:rsidP="002B3936">
            <w:r>
              <w:t>Activity</w:t>
            </w:r>
          </w:p>
        </w:tc>
        <w:tc>
          <w:tcPr>
            <w:tcW w:w="7290" w:type="dxa"/>
          </w:tcPr>
          <w:p w14:paraId="685918BD" w14:textId="77777777" w:rsidR="00ED701A" w:rsidRDefault="00ED701A" w:rsidP="00ED701A">
            <w:pPr>
              <w:cnfStyle w:val="000000000000" w:firstRow="0" w:lastRow="0" w:firstColumn="0" w:lastColumn="0" w:oddVBand="0" w:evenVBand="0" w:oddHBand="0" w:evenHBand="0" w:firstRowFirstColumn="0" w:firstRowLastColumn="0" w:lastRowFirstColumn="0" w:lastRowLastColumn="0"/>
            </w:pPr>
            <w:r>
              <w:t>Activity or transaction type.  E.g., “Deposit”, “Withdraw”, “Payment”, “Gain”, “AccountInfo”, “TaxInfo”, or “IncomeInfo”</w:t>
            </w:r>
          </w:p>
        </w:tc>
      </w:tr>
      <w:tr w:rsidR="00ED701A" w14:paraId="7025BBE8" w14:textId="77777777" w:rsidTr="002B3936">
        <w:tc>
          <w:tcPr>
            <w:cnfStyle w:val="001000000000" w:firstRow="0" w:lastRow="0" w:firstColumn="1" w:lastColumn="0" w:oddVBand="0" w:evenVBand="0" w:oddHBand="0" w:evenHBand="0" w:firstRowFirstColumn="0" w:firstRowLastColumn="0" w:lastRowFirstColumn="0" w:lastRowLastColumn="0"/>
            <w:tcW w:w="1975" w:type="dxa"/>
          </w:tcPr>
          <w:p w14:paraId="365F2519" w14:textId="77777777" w:rsidR="00ED701A" w:rsidRDefault="00ED701A" w:rsidP="002B3936">
            <w:r>
              <w:lastRenderedPageBreak/>
              <w:t>Account</w:t>
            </w:r>
          </w:p>
        </w:tc>
        <w:tc>
          <w:tcPr>
            <w:tcW w:w="7290" w:type="dxa"/>
          </w:tcPr>
          <w:p w14:paraId="7B1F0592" w14:textId="5C4989BA" w:rsidR="00ED701A" w:rsidRDefault="00ED701A" w:rsidP="00ED701A">
            <w:pPr>
              <w:cnfStyle w:val="000000000000" w:firstRow="0" w:lastRow="0" w:firstColumn="0" w:lastColumn="0" w:oddVBand="0" w:evenVBand="0" w:oddHBand="0" w:evenHBand="0" w:firstRowFirstColumn="0" w:firstRowLastColumn="0" w:lastRowFirstColumn="0" w:lastRowLastColumn="0"/>
            </w:pPr>
            <w:r>
              <w:t xml:space="preserve">Name of the account that the transaction </w:t>
            </w:r>
            <w:r w:rsidR="00DF0EC9">
              <w:t>occurred</w:t>
            </w:r>
            <w:r>
              <w:t xml:space="preserve"> in.</w:t>
            </w:r>
          </w:p>
        </w:tc>
      </w:tr>
      <w:tr w:rsidR="00ED701A" w14:paraId="74BB70E9" w14:textId="77777777" w:rsidTr="002B3936">
        <w:tc>
          <w:tcPr>
            <w:cnfStyle w:val="001000000000" w:firstRow="0" w:lastRow="0" w:firstColumn="1" w:lastColumn="0" w:oddVBand="0" w:evenVBand="0" w:oddHBand="0" w:evenHBand="0" w:firstRowFirstColumn="0" w:firstRowLastColumn="0" w:lastRowFirstColumn="0" w:lastRowLastColumn="0"/>
            <w:tcW w:w="1975" w:type="dxa"/>
          </w:tcPr>
          <w:p w14:paraId="72A69582" w14:textId="77777777" w:rsidR="00ED701A" w:rsidRDefault="00ED701A" w:rsidP="00ED701A">
            <w:r>
              <w:t>Amount</w:t>
            </w:r>
          </w:p>
        </w:tc>
        <w:tc>
          <w:tcPr>
            <w:tcW w:w="7290" w:type="dxa"/>
          </w:tcPr>
          <w:p w14:paraId="7BC2A185" w14:textId="77777777" w:rsidR="00ED701A" w:rsidRDefault="00ED701A" w:rsidP="00ED701A">
            <w:pPr>
              <w:cnfStyle w:val="000000000000" w:firstRow="0" w:lastRow="0" w:firstColumn="0" w:lastColumn="0" w:oddVBand="0" w:evenVBand="0" w:oddHBand="0" w:evenHBand="0" w:firstRowFirstColumn="0" w:firstRowLastColumn="0" w:lastRowFirstColumn="0" w:lastRowLastColumn="0"/>
            </w:pPr>
            <w:r>
              <w:t>Dollar amount of the transaction.</w:t>
            </w:r>
          </w:p>
        </w:tc>
      </w:tr>
      <w:tr w:rsidR="00ED701A" w14:paraId="4035158F" w14:textId="77777777" w:rsidTr="002B3936">
        <w:tc>
          <w:tcPr>
            <w:cnfStyle w:val="001000000000" w:firstRow="0" w:lastRow="0" w:firstColumn="1" w:lastColumn="0" w:oddVBand="0" w:evenVBand="0" w:oddHBand="0" w:evenHBand="0" w:firstRowFirstColumn="0" w:firstRowLastColumn="0" w:lastRowFirstColumn="0" w:lastRowLastColumn="0"/>
            <w:tcW w:w="1975" w:type="dxa"/>
          </w:tcPr>
          <w:p w14:paraId="55E795C0" w14:textId="77777777" w:rsidR="00ED701A" w:rsidRDefault="00ED701A" w:rsidP="00ED701A">
            <w:r>
              <w:t xml:space="preserve">Balance </w:t>
            </w:r>
          </w:p>
        </w:tc>
        <w:tc>
          <w:tcPr>
            <w:tcW w:w="7290" w:type="dxa"/>
          </w:tcPr>
          <w:p w14:paraId="3068D160" w14:textId="77777777" w:rsidR="00ED701A" w:rsidRDefault="00ED701A" w:rsidP="00ED701A">
            <w:pPr>
              <w:cnfStyle w:val="000000000000" w:firstRow="0" w:lastRow="0" w:firstColumn="0" w:lastColumn="0" w:oddVBand="0" w:evenVBand="0" w:oddHBand="0" w:evenHBand="0" w:firstRowFirstColumn="0" w:firstRowLastColumn="0" w:lastRowFirstColumn="0" w:lastRowLastColumn="0"/>
            </w:pPr>
            <w:r>
              <w:t>Balance in the named account at the completion of the transaction.</w:t>
            </w:r>
          </w:p>
        </w:tc>
      </w:tr>
      <w:tr w:rsidR="00ED701A" w14:paraId="1E72BDA2" w14:textId="77777777" w:rsidTr="002B3936">
        <w:tc>
          <w:tcPr>
            <w:cnfStyle w:val="001000000000" w:firstRow="0" w:lastRow="0" w:firstColumn="1" w:lastColumn="0" w:oddVBand="0" w:evenVBand="0" w:oddHBand="0" w:evenHBand="0" w:firstRowFirstColumn="0" w:firstRowLastColumn="0" w:lastRowFirstColumn="0" w:lastRowLastColumn="0"/>
            <w:tcW w:w="1975" w:type="dxa"/>
          </w:tcPr>
          <w:p w14:paraId="4F88E5F1" w14:textId="77777777" w:rsidR="00ED701A" w:rsidRDefault="00ED701A" w:rsidP="00ED701A">
            <w:r>
              <w:t>Memo</w:t>
            </w:r>
          </w:p>
        </w:tc>
        <w:tc>
          <w:tcPr>
            <w:tcW w:w="7290" w:type="dxa"/>
          </w:tcPr>
          <w:p w14:paraId="51EA23F8" w14:textId="77777777" w:rsidR="00ED701A" w:rsidRDefault="00ED701A" w:rsidP="00ED701A">
            <w:pPr>
              <w:cnfStyle w:val="000000000000" w:firstRow="0" w:lastRow="0" w:firstColumn="0" w:lastColumn="0" w:oddVBand="0" w:evenVBand="0" w:oddHBand="0" w:evenHBand="0" w:firstRowFirstColumn="0" w:firstRowLastColumn="0" w:lastRowFirstColumn="0" w:lastRowLastColumn="0"/>
            </w:pPr>
            <w:r>
              <w:t>Textual explanation of the purpose of the transaction.</w:t>
            </w:r>
          </w:p>
        </w:tc>
      </w:tr>
    </w:tbl>
    <w:p w14:paraId="27AF6BAC" w14:textId="77777777" w:rsidR="00116F84" w:rsidRDefault="00116F84"/>
    <w:p w14:paraId="2FF24EFC" w14:textId="77777777" w:rsidR="00116F84" w:rsidRDefault="00116F84">
      <w:r>
        <w:br w:type="page"/>
      </w:r>
    </w:p>
    <w:p w14:paraId="7DCCF3AF" w14:textId="77777777" w:rsidR="00116F84" w:rsidRDefault="00116F84" w:rsidP="00116F84">
      <w:pPr>
        <w:pStyle w:val="Heading1"/>
      </w:pPr>
      <w:r>
        <w:lastRenderedPageBreak/>
        <w:t>Tool Usage Hints</w:t>
      </w:r>
    </w:p>
    <w:p w14:paraId="3AAD6E1F" w14:textId="77777777" w:rsidR="00116F84" w:rsidRPr="0082775B" w:rsidRDefault="00116F84" w:rsidP="00116F84">
      <w:pPr>
        <w:rPr>
          <w:b/>
          <w:bCs/>
          <w:u w:val="single"/>
        </w:rPr>
      </w:pPr>
      <w:r w:rsidRPr="0082775B">
        <w:rPr>
          <w:b/>
          <w:bCs/>
          <w:u w:val="single"/>
        </w:rPr>
        <w:t>Plan End Year</w:t>
      </w:r>
    </w:p>
    <w:p w14:paraId="2A66642B" w14:textId="3D593D88" w:rsidR="00116F84" w:rsidRDefault="00116F84" w:rsidP="00116F84">
      <w:r>
        <w:t>The user may be inclined to choose the same year that they use for their financial plan, and focus on that year’s outcome to maximize their Roth Conversion Plan. The author suggests that this may not make sense.  For most people, their financial plan-end-year is chosen to be the year where the user has a tiny probability to still be living and a high probability that they will have died in an earlier year.  For Roth conversions, the user may want to instead focus on a year where there is a high probability that they will live until that year but not live beyond. For example, perhaps a good financial play end-year would be the year the user turns 95, but in contrast, the most likely end-of-life may be when the user turns 85.  This analysis tool doesn’t know what age to optimize for and likely the user will not either, so instead, the analysis tool provides the ability to visualize/compare results across the entire plan timeline. Suggest that you use your financial plan date as the Plan End Date in this tool but look at results and consider the years preceding the plan end year for optimization.</w:t>
      </w:r>
    </w:p>
    <w:p w14:paraId="3B843647" w14:textId="658A360F" w:rsidR="00116F84" w:rsidRPr="00116F84" w:rsidRDefault="00116F84" w:rsidP="00116F84">
      <w:pPr>
        <w:rPr>
          <w:b/>
          <w:bCs/>
          <w:u w:val="single"/>
        </w:rPr>
      </w:pPr>
      <w:r w:rsidRPr="00116F84">
        <w:rPr>
          <w:b/>
          <w:bCs/>
          <w:u w:val="single"/>
        </w:rPr>
        <w:t>Conversions May Make Sense During RMD years</w:t>
      </w:r>
    </w:p>
    <w:p w14:paraId="351D9559" w14:textId="76B97EEE" w:rsidR="00116F84" w:rsidRPr="006D1BB8" w:rsidRDefault="00116F84" w:rsidP="00116F84">
      <w:r>
        <w:t>Intuitively it may feel like Roth Conversion should stop when RMDs begin.  This may not make sense, especially in the early RMD years where the RMD amount may not be large.  The use of the tools MAGI Limit option is a good way to experiment with this by allowing conversions to continue in RMD years, providing the taxes are managed by keeping the conversion small enough to stay within the limited MAGI.</w:t>
      </w:r>
    </w:p>
    <w:p w14:paraId="4E7E6091" w14:textId="77777777" w:rsidR="00116F84" w:rsidRPr="00116F84" w:rsidRDefault="00116F84">
      <w:pPr>
        <w:rPr>
          <w:b/>
          <w:bCs/>
          <w:u w:val="single"/>
        </w:rPr>
      </w:pPr>
      <w:r w:rsidRPr="00116F84">
        <w:rPr>
          <w:b/>
          <w:bCs/>
          <w:u w:val="single"/>
        </w:rPr>
        <w:t>Experiment</w:t>
      </w:r>
    </w:p>
    <w:p w14:paraId="4956CF44" w14:textId="459E4BF6" w:rsidR="00DF0EC9" w:rsidRDefault="00116F84">
      <w:pPr>
        <w:rPr>
          <w:rFonts w:asciiTheme="majorHAnsi" w:eastAsiaTheme="majorEastAsia" w:hAnsiTheme="majorHAnsi" w:cstheme="majorBidi"/>
          <w:color w:val="2F5496" w:themeColor="accent1" w:themeShade="BF"/>
          <w:sz w:val="40"/>
          <w:szCs w:val="40"/>
        </w:rPr>
      </w:pPr>
      <w:r>
        <w:t xml:space="preserve">It is going to take a little experimentation </w:t>
      </w:r>
      <w:r w:rsidR="00166E0F">
        <w:t>on your part to find your optimal (or at least better) Roth conversion plan.  Start with three to five scenarios, compare their outputs to see which better fits your needs.  Discard the less optimal scenarios and try some others.</w:t>
      </w:r>
      <w:r w:rsidR="00DF0EC9">
        <w:br w:type="page"/>
      </w:r>
    </w:p>
    <w:p w14:paraId="4EEC93E4" w14:textId="42A655F7" w:rsidR="00B006BD" w:rsidRDefault="00B006BD" w:rsidP="00B006BD">
      <w:pPr>
        <w:pStyle w:val="Heading1"/>
      </w:pPr>
      <w:r>
        <w:lastRenderedPageBreak/>
        <w:t>Algorithmic Concepts</w:t>
      </w:r>
    </w:p>
    <w:p w14:paraId="64F268AB" w14:textId="77777777" w:rsidR="00B006BD" w:rsidRDefault="00B006BD" w:rsidP="00B006BD">
      <w:pPr>
        <w:pStyle w:val="Heading2"/>
      </w:pPr>
      <w:r>
        <w:t>Scenario Analysis Algorithmic Concepts</w:t>
      </w:r>
    </w:p>
    <w:p w14:paraId="51335E1A" w14:textId="2994039B" w:rsidR="002144C5" w:rsidRDefault="00ED701A" w:rsidP="00ED701A">
      <w:r>
        <w:t>The analysis of any particular scenario is performed by running a simulation for each month</w:t>
      </w:r>
      <w:r w:rsidR="00B006BD">
        <w:t>,</w:t>
      </w:r>
      <w:r>
        <w:t xml:space="preserve"> </w:t>
      </w:r>
      <w:r w:rsidR="002144C5">
        <w:t>of</w:t>
      </w:r>
      <w:r>
        <w:t xml:space="preserve"> each year</w:t>
      </w:r>
      <w:r w:rsidR="00B006BD">
        <w:t>,</w:t>
      </w:r>
      <w:r>
        <w:t xml:space="preserve"> of the </w:t>
      </w:r>
      <w:r w:rsidR="002144C5">
        <w:t xml:space="preserve">actionable </w:t>
      </w:r>
      <w:r>
        <w:t xml:space="preserve">plan. </w:t>
      </w:r>
    </w:p>
    <w:p w14:paraId="3AADF0E6" w14:textId="77777777" w:rsidR="002144C5" w:rsidRPr="002144C5" w:rsidRDefault="002144C5" w:rsidP="002144C5">
      <w:pPr>
        <w:pStyle w:val="Heading4"/>
      </w:pPr>
      <w:r w:rsidRPr="002144C5">
        <w:t>Reserved Accounts</w:t>
      </w:r>
    </w:p>
    <w:p w14:paraId="3DFF7F25" w14:textId="77777777" w:rsidR="00ED701A" w:rsidRDefault="00ED701A" w:rsidP="00ED701A">
      <w:r>
        <w:t>The analysis designates one or more of the user’s accounts for one of two purposes.</w:t>
      </w:r>
    </w:p>
    <w:p w14:paraId="0DBD953F" w14:textId="77777777" w:rsidR="00ED701A" w:rsidRDefault="00ED701A" w:rsidP="00ED701A">
      <w:pPr>
        <w:pStyle w:val="ListParagraph"/>
        <w:numPr>
          <w:ilvl w:val="0"/>
          <w:numId w:val="6"/>
        </w:numPr>
      </w:pPr>
      <w:r>
        <w:t xml:space="preserve">Cash-Account – Consider this a form of checking account; assets are moved into this account to cover expenses and out of this account to pay expenses.  It is </w:t>
      </w:r>
      <w:r w:rsidR="002144C5">
        <w:t xml:space="preserve">chosen based on it being </w:t>
      </w:r>
      <w:r>
        <w:t>the first savings account in the list that also happens to have the lowest yearly gains.</w:t>
      </w:r>
    </w:p>
    <w:p w14:paraId="3D134D75" w14:textId="77777777" w:rsidR="00ED701A" w:rsidRDefault="00ED701A" w:rsidP="00ED701A">
      <w:pPr>
        <w:pStyle w:val="ListParagraph"/>
        <w:numPr>
          <w:ilvl w:val="0"/>
          <w:numId w:val="6"/>
        </w:numPr>
      </w:pPr>
      <w:r>
        <w:t xml:space="preserve">Long-Term-Savings-Account – The </w:t>
      </w:r>
      <w:r w:rsidR="002144C5">
        <w:t>account</w:t>
      </w:r>
      <w:r>
        <w:t xml:space="preserve"> that excess RMDs are deposited</w:t>
      </w:r>
      <w:r w:rsidR="002144C5">
        <w:t xml:space="preserve"> into. It is chosen based on it being the </w:t>
      </w:r>
      <w:r>
        <w:t>first taxable account that also happens to have the highest yearly gains.</w:t>
      </w:r>
    </w:p>
    <w:p w14:paraId="288F447E" w14:textId="77777777" w:rsidR="002144C5" w:rsidRPr="005D7FA2" w:rsidRDefault="002144C5" w:rsidP="005D7FA2">
      <w:pPr>
        <w:pStyle w:val="Heading4"/>
      </w:pPr>
      <w:r w:rsidRPr="005D7FA2">
        <w:t>Yearly Initialization</w:t>
      </w:r>
    </w:p>
    <w:p w14:paraId="1B435816" w14:textId="77777777" w:rsidR="00ED701A" w:rsidRDefault="00ED701A" w:rsidP="00ED701A">
      <w:r>
        <w:t>At the start of a year.</w:t>
      </w:r>
    </w:p>
    <w:p w14:paraId="01971452" w14:textId="77777777" w:rsidR="00ED701A" w:rsidRDefault="00ED701A" w:rsidP="00ED701A">
      <w:pPr>
        <w:pStyle w:val="ListParagraph"/>
        <w:numPr>
          <w:ilvl w:val="0"/>
          <w:numId w:val="4"/>
        </w:numPr>
      </w:pPr>
      <w:r>
        <w:t>Investment account information is initialized form the previous year</w:t>
      </w:r>
      <w:r w:rsidR="002144C5">
        <w:t>, or in the case of the first year of the plan, from the configuration data.</w:t>
      </w:r>
    </w:p>
    <w:p w14:paraId="1BF3367A" w14:textId="77777777" w:rsidR="00ED701A" w:rsidRDefault="00ED701A" w:rsidP="00ED701A">
      <w:pPr>
        <w:pStyle w:val="ListParagraph"/>
        <w:numPr>
          <w:ilvl w:val="0"/>
          <w:numId w:val="4"/>
        </w:numPr>
      </w:pPr>
      <w:r>
        <w:t>A monthly income plan is created for all configured income streams (adjusted for the year of the plan).</w:t>
      </w:r>
    </w:p>
    <w:p w14:paraId="5C7DB1FF" w14:textId="77777777" w:rsidR="00ED701A" w:rsidRDefault="00ED701A" w:rsidP="00ED701A">
      <w:pPr>
        <w:pStyle w:val="ListParagraph"/>
        <w:numPr>
          <w:ilvl w:val="0"/>
          <w:numId w:val="4"/>
        </w:numPr>
      </w:pPr>
      <w:r>
        <w:t>A monthly payment plan is created for invariant taxes, i.e., FICA, Medicare, IRMAA.</w:t>
      </w:r>
    </w:p>
    <w:p w14:paraId="5D227A82" w14:textId="77777777" w:rsidR="00ED701A" w:rsidRDefault="00ED701A" w:rsidP="00ED701A">
      <w:pPr>
        <w:pStyle w:val="ListParagraph"/>
        <w:numPr>
          <w:ilvl w:val="0"/>
          <w:numId w:val="4"/>
        </w:numPr>
      </w:pPr>
      <w:r>
        <w:t>Roth Conversion constraints are calculated.</w:t>
      </w:r>
    </w:p>
    <w:p w14:paraId="0EC2C0EB" w14:textId="2E5B1DA9" w:rsidR="002144C5" w:rsidRDefault="002144C5" w:rsidP="00ED701A">
      <w:pPr>
        <w:pStyle w:val="ListParagraph"/>
        <w:numPr>
          <w:ilvl w:val="0"/>
          <w:numId w:val="4"/>
        </w:numPr>
      </w:pPr>
      <w:r>
        <w:t xml:space="preserve">At this </w:t>
      </w:r>
      <w:r w:rsidR="00DF0EC9">
        <w:t>point</w:t>
      </w:r>
      <w:r w:rsidR="00B006BD">
        <w:t>,</w:t>
      </w:r>
      <w:r>
        <w:t xml:space="preserve"> month-by-month simulation occurs for that year.</w:t>
      </w:r>
    </w:p>
    <w:p w14:paraId="606FBC3B" w14:textId="77777777" w:rsidR="002144C5" w:rsidRDefault="002144C5" w:rsidP="002144C5">
      <w:pPr>
        <w:pStyle w:val="Heading4"/>
      </w:pPr>
      <w:r>
        <w:t>Month-by-Month Simulation</w:t>
      </w:r>
    </w:p>
    <w:p w14:paraId="3994FA80" w14:textId="77777777" w:rsidR="00ED701A" w:rsidRDefault="00ED701A" w:rsidP="00ED701A">
      <w:r>
        <w:t>For each month of each year.</w:t>
      </w:r>
    </w:p>
    <w:p w14:paraId="235ADCE3" w14:textId="77777777" w:rsidR="00ED701A" w:rsidRDefault="00ED701A" w:rsidP="00ED701A">
      <w:pPr>
        <w:pStyle w:val="ListParagraph"/>
        <w:numPr>
          <w:ilvl w:val="0"/>
          <w:numId w:val="5"/>
        </w:numPr>
      </w:pPr>
      <w:r>
        <w:t>Plan is initialized / adjusted to ensure that execution of the ROTH conversion plan</w:t>
      </w:r>
      <w:r w:rsidR="002144C5">
        <w:t xml:space="preserve"> is viable, i.e.</w:t>
      </w:r>
      <w:r>
        <w:t>..</w:t>
      </w:r>
    </w:p>
    <w:p w14:paraId="6FD8C8E1" w14:textId="77777777" w:rsidR="00ED701A" w:rsidRDefault="00ED701A" w:rsidP="00ED701A">
      <w:pPr>
        <w:pStyle w:val="ListParagraph"/>
        <w:numPr>
          <w:ilvl w:val="1"/>
          <w:numId w:val="5"/>
        </w:numPr>
      </w:pPr>
      <w:r>
        <w:t xml:space="preserve"> </w:t>
      </w:r>
      <w:r w:rsidR="002144C5">
        <w:t>It w</w:t>
      </w:r>
      <w:r>
        <w:t>ill not result in the conversion scenario</w:t>
      </w:r>
      <w:r w:rsidR="002144C5">
        <w:t>’s</w:t>
      </w:r>
      <w:r>
        <w:t xml:space="preserve"> MAGI constraint being exceeded (should one have been configured).</w:t>
      </w:r>
    </w:p>
    <w:p w14:paraId="6A9F4676" w14:textId="77777777" w:rsidR="00ED701A" w:rsidRDefault="002144C5" w:rsidP="00ED701A">
      <w:pPr>
        <w:pStyle w:val="ListParagraph"/>
        <w:numPr>
          <w:ilvl w:val="1"/>
          <w:numId w:val="5"/>
        </w:numPr>
      </w:pPr>
      <w:r>
        <w:t>It w</w:t>
      </w:r>
      <w:r w:rsidR="00ED701A">
        <w:t>ill not result in an overdraft of the IRA accounts, i.e., sufficient IRA funds</w:t>
      </w:r>
      <w:r>
        <w:t xml:space="preserve"> must</w:t>
      </w:r>
      <w:r w:rsidR="00ED701A">
        <w:t xml:space="preserve"> exist to perform the conversion.</w:t>
      </w:r>
    </w:p>
    <w:p w14:paraId="7B5F1E44" w14:textId="77777777" w:rsidR="00ED701A" w:rsidRDefault="00ED701A" w:rsidP="00ED701A">
      <w:pPr>
        <w:pStyle w:val="ListParagraph"/>
        <w:numPr>
          <w:ilvl w:val="1"/>
          <w:numId w:val="5"/>
        </w:numPr>
      </w:pPr>
      <w:r>
        <w:t xml:space="preserve"> </w:t>
      </w:r>
      <w:r w:rsidR="002144C5">
        <w:t>It w</w:t>
      </w:r>
      <w:r>
        <w:t>ill be able to be executed within the available income and account assets, i.e., pay required taxes (which are re-estimated here as well).</w:t>
      </w:r>
    </w:p>
    <w:p w14:paraId="0B190B25" w14:textId="7E545EEA" w:rsidR="002144C5" w:rsidRDefault="002144C5" w:rsidP="00ED701A">
      <w:pPr>
        <w:pStyle w:val="ListParagraph"/>
        <w:numPr>
          <w:ilvl w:val="1"/>
          <w:numId w:val="5"/>
        </w:numPr>
      </w:pPr>
      <w:r>
        <w:t>If any of the constraints above is violated</w:t>
      </w:r>
      <w:r w:rsidR="00B006BD">
        <w:t xml:space="preserve">, </w:t>
      </w:r>
      <w:r>
        <w:t>the Roth Conversion amount will be adjusted until it is actionable.</w:t>
      </w:r>
    </w:p>
    <w:p w14:paraId="5ACD4842" w14:textId="77777777" w:rsidR="00ED701A" w:rsidRDefault="00ED701A" w:rsidP="00ED701A">
      <w:pPr>
        <w:pStyle w:val="ListParagraph"/>
        <w:numPr>
          <w:ilvl w:val="0"/>
          <w:numId w:val="5"/>
        </w:numPr>
      </w:pPr>
      <w:r>
        <w:t xml:space="preserve">Monthly income (from all income stream) is added to </w:t>
      </w:r>
      <w:r w:rsidR="002144C5">
        <w:t>the Cash-Account</w:t>
      </w:r>
      <w:r>
        <w:t>.</w:t>
      </w:r>
    </w:p>
    <w:p w14:paraId="1059E033" w14:textId="46C6EB21" w:rsidR="00ED701A" w:rsidRDefault="00ED701A" w:rsidP="00ED701A">
      <w:pPr>
        <w:pStyle w:val="ListParagraph"/>
        <w:numPr>
          <w:ilvl w:val="0"/>
          <w:numId w:val="5"/>
        </w:numPr>
      </w:pPr>
      <w:r>
        <w:t>Monthly FICA taxes</w:t>
      </w:r>
      <w:r w:rsidR="00B006BD">
        <w:t xml:space="preserve"> (if any)</w:t>
      </w:r>
      <w:r>
        <w:t xml:space="preserve"> are pai</w:t>
      </w:r>
      <w:r w:rsidR="00DF0EC9">
        <w:t>d</w:t>
      </w:r>
      <w:r w:rsidR="002144C5">
        <w:t xml:space="preserve"> from the Cash-Account.</w:t>
      </w:r>
    </w:p>
    <w:p w14:paraId="62FABE4C" w14:textId="00C8154D" w:rsidR="00ED701A" w:rsidRDefault="00ED701A" w:rsidP="00ED701A">
      <w:pPr>
        <w:pStyle w:val="ListParagraph"/>
        <w:numPr>
          <w:ilvl w:val="0"/>
          <w:numId w:val="5"/>
        </w:numPr>
      </w:pPr>
      <w:r>
        <w:t xml:space="preserve">Monthly Medicare taxes </w:t>
      </w:r>
      <w:r w:rsidR="00B006BD">
        <w:t xml:space="preserve">(if any) </w:t>
      </w:r>
      <w:r>
        <w:t>are paid</w:t>
      </w:r>
      <w:r w:rsidR="002144C5">
        <w:t xml:space="preserve"> </w:t>
      </w:r>
      <w:r w:rsidR="00DF0EC9">
        <w:t xml:space="preserve">from </w:t>
      </w:r>
      <w:r w:rsidR="002144C5">
        <w:t>the Cash-Account</w:t>
      </w:r>
      <w:r>
        <w:t>.</w:t>
      </w:r>
    </w:p>
    <w:p w14:paraId="4863452C" w14:textId="77777777" w:rsidR="00ED701A" w:rsidRDefault="00ED701A" w:rsidP="00ED701A">
      <w:pPr>
        <w:pStyle w:val="ListParagraph"/>
        <w:numPr>
          <w:ilvl w:val="0"/>
          <w:numId w:val="5"/>
        </w:numPr>
      </w:pPr>
      <w:r>
        <w:lastRenderedPageBreak/>
        <w:t>Interest and Dividends are accrued to all accounts.</w:t>
      </w:r>
    </w:p>
    <w:p w14:paraId="2361817A" w14:textId="38C51D7A" w:rsidR="00ED701A" w:rsidRDefault="002144C5" w:rsidP="00ED701A">
      <w:pPr>
        <w:pStyle w:val="ListParagraph"/>
        <w:numPr>
          <w:ilvl w:val="0"/>
          <w:numId w:val="5"/>
        </w:numPr>
      </w:pPr>
      <w:r>
        <w:t xml:space="preserve">The </w:t>
      </w:r>
      <w:r w:rsidR="00ED701A">
        <w:t>month’s total expenses including all income taxes and IRMAA taxes</w:t>
      </w:r>
      <w:r w:rsidR="00DF0EC9">
        <w:t>,</w:t>
      </w:r>
      <w:r>
        <w:t xml:space="preserve"> is calculated / estimated.</w:t>
      </w:r>
    </w:p>
    <w:p w14:paraId="6EB0ECA6" w14:textId="77777777" w:rsidR="00ED701A" w:rsidRDefault="002144C5" w:rsidP="00ED701A">
      <w:pPr>
        <w:pStyle w:val="ListParagraph"/>
        <w:numPr>
          <w:ilvl w:val="0"/>
          <w:numId w:val="5"/>
        </w:numPr>
      </w:pPr>
      <w:r>
        <w:t>The amount of these</w:t>
      </w:r>
      <w:r w:rsidR="00ED701A">
        <w:t xml:space="preserve"> expenses </w:t>
      </w:r>
      <w:r>
        <w:t xml:space="preserve">that </w:t>
      </w:r>
      <w:r w:rsidR="00ED701A">
        <w:t>can be covered</w:t>
      </w:r>
      <w:r>
        <w:t xml:space="preserve"> by</w:t>
      </w:r>
      <w:r w:rsidR="00ED701A">
        <w:t xml:space="preserve"> assets in the Cash-Account</w:t>
      </w:r>
      <w:r>
        <w:t xml:space="preserve"> is determined</w:t>
      </w:r>
      <w:r w:rsidR="00ED701A">
        <w:t xml:space="preserve"> and conversely how much must be covered by other assets.</w:t>
      </w:r>
      <w:r>
        <w:t xml:space="preserve"> Called the ExpenseBalanceBeforeRMDs.</w:t>
      </w:r>
    </w:p>
    <w:p w14:paraId="14739983" w14:textId="77777777" w:rsidR="00ED701A" w:rsidRDefault="00ED701A" w:rsidP="00ED701A">
      <w:pPr>
        <w:pStyle w:val="ListParagraph"/>
        <w:numPr>
          <w:ilvl w:val="0"/>
          <w:numId w:val="5"/>
        </w:numPr>
      </w:pPr>
      <w:r>
        <w:t>Move monthly RMDs (if any) to …</w:t>
      </w:r>
    </w:p>
    <w:p w14:paraId="31D4FE26" w14:textId="358E4073" w:rsidR="00ED701A" w:rsidRDefault="00ED701A" w:rsidP="00ED701A">
      <w:pPr>
        <w:pStyle w:val="ListParagraph"/>
        <w:numPr>
          <w:ilvl w:val="1"/>
          <w:numId w:val="5"/>
        </w:numPr>
      </w:pPr>
      <w:r>
        <w:t xml:space="preserve">The Cash-Account up to </w:t>
      </w:r>
      <w:proofErr w:type="spellStart"/>
      <w:r>
        <w:t>ExpenseBalanceBeforeRMDs</w:t>
      </w:r>
      <w:proofErr w:type="spellEnd"/>
      <w:r>
        <w:t xml:space="preserve"> </w:t>
      </w:r>
      <w:r w:rsidR="00B006BD">
        <w:t xml:space="preserve">amount </w:t>
      </w:r>
      <w:r>
        <w:t xml:space="preserve">and </w:t>
      </w:r>
      <w:r w:rsidR="00E26777">
        <w:t xml:space="preserve">further, </w:t>
      </w:r>
      <w:r>
        <w:t>calculating ExpenseBalanceAfterRMDs.</w:t>
      </w:r>
    </w:p>
    <w:p w14:paraId="5326BD30" w14:textId="77777777" w:rsidR="00ED701A" w:rsidRDefault="00ED701A" w:rsidP="00ED701A">
      <w:pPr>
        <w:pStyle w:val="ListParagraph"/>
        <w:numPr>
          <w:ilvl w:val="1"/>
          <w:numId w:val="5"/>
        </w:numPr>
      </w:pPr>
      <w:r>
        <w:t>The balance of the RMDs (if any) to the Long-Term-Savings-Account.</w:t>
      </w:r>
    </w:p>
    <w:p w14:paraId="1034BBEC" w14:textId="77777777" w:rsidR="00ED701A" w:rsidRDefault="00ED701A" w:rsidP="00ED701A">
      <w:pPr>
        <w:pStyle w:val="ListParagraph"/>
        <w:numPr>
          <w:ilvl w:val="0"/>
          <w:numId w:val="5"/>
        </w:numPr>
      </w:pPr>
      <w:r>
        <w:t>Move up to ExpenseBalanceAfterRMDs from any other accounts to the Cash-Account.</w:t>
      </w:r>
    </w:p>
    <w:p w14:paraId="521A0C46" w14:textId="77777777" w:rsidR="00ED701A" w:rsidRDefault="00ED701A" w:rsidP="00ED701A">
      <w:pPr>
        <w:pStyle w:val="ListParagraph"/>
        <w:numPr>
          <w:ilvl w:val="0"/>
          <w:numId w:val="5"/>
        </w:numPr>
      </w:pPr>
      <w:r>
        <w:t>Pay IRMAA taxes from the Cash-Account.</w:t>
      </w:r>
    </w:p>
    <w:p w14:paraId="4C55B478" w14:textId="77777777" w:rsidR="00ED701A" w:rsidRDefault="00ED701A" w:rsidP="00ED701A">
      <w:pPr>
        <w:pStyle w:val="ListParagraph"/>
        <w:numPr>
          <w:ilvl w:val="0"/>
          <w:numId w:val="5"/>
        </w:numPr>
      </w:pPr>
      <w:r>
        <w:t>Move/Convert monthly Roth Conversion Amount from available IRA accounts</w:t>
      </w:r>
      <w:r w:rsidR="00E26777">
        <w:t xml:space="preserve">; </w:t>
      </w:r>
      <w:r>
        <w:t>depositing them into the appropriate Roth account</w:t>
      </w:r>
      <w:r w:rsidR="00E26777">
        <w:t>s</w:t>
      </w:r>
      <w:r>
        <w:t xml:space="preserve"> (user account or spouse account as appropriate). If for some reason the full planned amount cannot be moved / converted, update the monthly conversion plan.</w:t>
      </w:r>
    </w:p>
    <w:p w14:paraId="0EF92DAC" w14:textId="77777777" w:rsidR="00ED701A" w:rsidRPr="006D1BB8" w:rsidRDefault="00ED701A" w:rsidP="00ED701A">
      <w:pPr>
        <w:pStyle w:val="ListParagraph"/>
        <w:numPr>
          <w:ilvl w:val="0"/>
          <w:numId w:val="5"/>
        </w:numPr>
      </w:pPr>
      <w:r>
        <w:t>Pay monthly Federal Income tax from Cash-Account.</w:t>
      </w:r>
    </w:p>
    <w:p w14:paraId="0859DD4E" w14:textId="77777777" w:rsidR="00ED701A" w:rsidRPr="006D1BB8" w:rsidRDefault="00ED701A" w:rsidP="00ED701A">
      <w:pPr>
        <w:pStyle w:val="ListParagraph"/>
        <w:numPr>
          <w:ilvl w:val="0"/>
          <w:numId w:val="5"/>
        </w:numPr>
      </w:pPr>
      <w:r>
        <w:t>Pay monthly State Income tax from Cash-Account.</w:t>
      </w:r>
    </w:p>
    <w:p w14:paraId="7A8BA730" w14:textId="77777777" w:rsidR="00ED701A" w:rsidRPr="006D1BB8" w:rsidRDefault="00ED701A" w:rsidP="00ED701A">
      <w:pPr>
        <w:pStyle w:val="ListParagraph"/>
        <w:numPr>
          <w:ilvl w:val="0"/>
          <w:numId w:val="5"/>
        </w:numPr>
      </w:pPr>
      <w:r>
        <w:t>Pay monthly Local Income tax from Cash-Account.</w:t>
      </w:r>
    </w:p>
    <w:p w14:paraId="5A99E2EF" w14:textId="77777777" w:rsidR="00ED701A" w:rsidRDefault="00ED701A" w:rsidP="00ED701A">
      <w:pPr>
        <w:pStyle w:val="ListParagraph"/>
        <w:numPr>
          <w:ilvl w:val="0"/>
          <w:numId w:val="5"/>
        </w:numPr>
      </w:pPr>
      <w:r>
        <w:t>Pay monthly living expenses from Cash-Account.</w:t>
      </w:r>
    </w:p>
    <w:p w14:paraId="5CA3C676" w14:textId="77777777" w:rsidR="00E26777" w:rsidRPr="006D1BB8" w:rsidRDefault="00E26777" w:rsidP="00ED701A">
      <w:pPr>
        <w:pStyle w:val="ListParagraph"/>
        <w:numPr>
          <w:ilvl w:val="0"/>
          <w:numId w:val="5"/>
        </w:numPr>
      </w:pPr>
      <w:r>
        <w:t>If in any step it is determined that insufficient funds exist, the yearly analysis for the scenario is terminated.</w:t>
      </w:r>
    </w:p>
    <w:p w14:paraId="5E0B65BA" w14:textId="2DA92652" w:rsidR="00ED701A" w:rsidRDefault="005A42EB" w:rsidP="00B006BD">
      <w:pPr>
        <w:pStyle w:val="Heading2"/>
      </w:pPr>
      <w:r>
        <w:t>Account Value</w:t>
      </w:r>
      <w:r w:rsidR="00B006BD">
        <w:t xml:space="preserve"> Concepts</w:t>
      </w:r>
    </w:p>
    <w:p w14:paraId="4269FEAF" w14:textId="1764ADA2" w:rsidR="005A42EB" w:rsidRDefault="005A42EB" w:rsidP="005A42EB">
      <w:r>
        <w:t xml:space="preserve">As discussed earlier, </w:t>
      </w:r>
      <w:r w:rsidR="00B006BD">
        <w:rPr>
          <w:b/>
          <w:bCs/>
        </w:rPr>
        <w:t>Accounts Value</w:t>
      </w:r>
      <w:r>
        <w:t xml:space="preserve"> represents an aggregate value of ALL of the account “values” </w:t>
      </w:r>
      <w:r w:rsidR="00B006BD">
        <w:t>at some point in the plan</w:t>
      </w:r>
      <w:r>
        <w:t>. That is, where the “value” of an account is different for each account type.  For example:</w:t>
      </w:r>
    </w:p>
    <w:p w14:paraId="775C4A0D" w14:textId="62136B52" w:rsidR="005A42EB" w:rsidRDefault="005A42EB" w:rsidP="005A42EB">
      <w:pPr>
        <w:pStyle w:val="ListParagraph"/>
        <w:numPr>
          <w:ilvl w:val="0"/>
          <w:numId w:val="19"/>
        </w:numPr>
      </w:pPr>
      <w:r>
        <w:t>Roth IRA account balances are valued the highest.</w:t>
      </w:r>
      <w:r w:rsidR="00B006BD">
        <w:t xml:space="preserve"> Roth IRA accounts are assigned a value-weight of 1.00.</w:t>
      </w:r>
    </w:p>
    <w:p w14:paraId="2A91C3B1" w14:textId="1C7DBCBB" w:rsidR="005A42EB" w:rsidRDefault="005A42EB" w:rsidP="005A42EB">
      <w:pPr>
        <w:pStyle w:val="ListParagraph"/>
        <w:numPr>
          <w:ilvl w:val="0"/>
          <w:numId w:val="19"/>
        </w:numPr>
      </w:pPr>
      <w:r>
        <w:t>Taxable account balances are valued the second highest.</w:t>
      </w:r>
      <w:r w:rsidR="00B006BD">
        <w:t xml:space="preserve"> Taxable accounts are assigned </w:t>
      </w:r>
      <w:r w:rsidR="00B006BD">
        <w:t xml:space="preserve">a value-weight </w:t>
      </w:r>
      <w:r w:rsidR="00B006BD">
        <w:t>that is less than</w:t>
      </w:r>
      <w:r w:rsidR="00B006BD">
        <w:t xml:space="preserve"> 1.00.</w:t>
      </w:r>
    </w:p>
    <w:p w14:paraId="2C095975" w14:textId="5F6EB3B7" w:rsidR="00B006BD" w:rsidRDefault="005A42EB" w:rsidP="00B006BD">
      <w:pPr>
        <w:pStyle w:val="ListParagraph"/>
        <w:numPr>
          <w:ilvl w:val="0"/>
          <w:numId w:val="19"/>
        </w:numPr>
      </w:pPr>
      <w:r>
        <w:t xml:space="preserve">Traditional IRA account balances are valued the least. </w:t>
      </w:r>
      <w:r w:rsidR="00B006BD">
        <w:t>Traditional IRA</w:t>
      </w:r>
      <w:r w:rsidR="00B006BD">
        <w:t xml:space="preserve"> accounts are assigned a value-weight that is less than 1.00</w:t>
      </w:r>
      <w:r w:rsidR="00B006BD">
        <w:t xml:space="preserve"> and less than the value used for Taxable accounts.</w:t>
      </w:r>
    </w:p>
    <w:p w14:paraId="72B221AE" w14:textId="3C0FF210" w:rsidR="007B77B2" w:rsidRDefault="005A42EB" w:rsidP="005A42EB">
      <w:r>
        <w:t xml:space="preserve">Value </w:t>
      </w:r>
      <w:r w:rsidR="00B006BD">
        <w:t xml:space="preserve">weights are </w:t>
      </w:r>
      <w:r>
        <w:t xml:space="preserve">is estimated by calculating the estimated value of an inherited Traditional IRA, </w:t>
      </w:r>
      <w:r w:rsidR="007B77B2">
        <w:t xml:space="preserve">Taxable </w:t>
      </w:r>
      <w:r>
        <w:t>Brokerage Account and ROTH IRA after 10 years</w:t>
      </w:r>
      <w:r w:rsidR="007B77B2">
        <w:t>, where the IRS specifies that an Inherited Traditional IRA must be fully emptied.</w:t>
      </w:r>
    </w:p>
    <w:p w14:paraId="1CE26F45" w14:textId="4C8C8BE3" w:rsidR="005A42EB" w:rsidRDefault="007B77B2" w:rsidP="007B77B2">
      <w:r>
        <w:t>It does this by assuming a specific, initial investment, investment</w:t>
      </w:r>
      <w:r w:rsidR="00B006BD">
        <w:t xml:space="preserve"> gain rate</w:t>
      </w:r>
      <w:r>
        <w:t xml:space="preserve"> and tax bracket. Then …</w:t>
      </w:r>
    </w:p>
    <w:p w14:paraId="0CC060BE" w14:textId="25D0FF9B" w:rsidR="005A42EB" w:rsidRDefault="007B77B2" w:rsidP="005A42EB">
      <w:pPr>
        <w:pStyle w:val="ListParagraph"/>
        <w:numPr>
          <w:ilvl w:val="0"/>
          <w:numId w:val="24"/>
        </w:numPr>
      </w:pPr>
      <w:r>
        <w:t>Estimating t</w:t>
      </w:r>
      <w:r w:rsidR="005A42EB">
        <w:t xml:space="preserve">he </w:t>
      </w:r>
      <w:r w:rsidR="00CA131B">
        <w:t>TradionalIRA10YrValue</w:t>
      </w:r>
      <w:r w:rsidR="005A42EB">
        <w:t xml:space="preserve"> by:</w:t>
      </w:r>
    </w:p>
    <w:p w14:paraId="4B4C1CC2" w14:textId="5B89C64B" w:rsidR="005A42EB" w:rsidRDefault="005A42EB" w:rsidP="005A42EB">
      <w:pPr>
        <w:pStyle w:val="ListParagraph"/>
        <w:numPr>
          <w:ilvl w:val="1"/>
          <w:numId w:val="24"/>
        </w:numPr>
      </w:pPr>
      <w:r>
        <w:lastRenderedPageBreak/>
        <w:t>Assuming equal disbursements at the end of each of the 10 years while accounting for any account gains.</w:t>
      </w:r>
    </w:p>
    <w:p w14:paraId="41F8201C" w14:textId="7E2AE569" w:rsidR="005A42EB" w:rsidRDefault="005A42EB" w:rsidP="005A42EB">
      <w:pPr>
        <w:pStyle w:val="ListParagraph"/>
        <w:numPr>
          <w:ilvl w:val="1"/>
          <w:numId w:val="24"/>
        </w:numPr>
      </w:pPr>
      <w:r>
        <w:t>The disbursements are adjusted for taxes and deposited into an associated taxable brokerage account.</w:t>
      </w:r>
    </w:p>
    <w:p w14:paraId="66F49FA5" w14:textId="6D9BCEAD" w:rsidR="005A42EB" w:rsidRDefault="005A42EB" w:rsidP="005A42EB">
      <w:pPr>
        <w:pStyle w:val="ListParagraph"/>
        <w:numPr>
          <w:ilvl w:val="1"/>
          <w:numId w:val="24"/>
        </w:numPr>
      </w:pPr>
      <w:r>
        <w:t>The funds in the associated brokerage account are assigned yearly gains adjusted for taxes.</w:t>
      </w:r>
      <w:r w:rsidR="007B77B2">
        <w:br/>
      </w:r>
    </w:p>
    <w:p w14:paraId="20C89246" w14:textId="48443DD6" w:rsidR="005A42EB" w:rsidRDefault="007B77B2" w:rsidP="005A42EB">
      <w:pPr>
        <w:pStyle w:val="ListParagraph"/>
        <w:numPr>
          <w:ilvl w:val="0"/>
          <w:numId w:val="24"/>
        </w:numPr>
      </w:pPr>
      <w:r>
        <w:t>Estimating t</w:t>
      </w:r>
      <w:r w:rsidR="005A42EB">
        <w:t>he TaxableBrokerage</w:t>
      </w:r>
      <w:r w:rsidR="00CA131B">
        <w:t xml:space="preserve">10YrValue </w:t>
      </w:r>
      <w:r w:rsidR="005A42EB">
        <w:t>value is by:</w:t>
      </w:r>
    </w:p>
    <w:p w14:paraId="1646A2D0" w14:textId="4AFEDFB9" w:rsidR="007B77B2" w:rsidRDefault="007B77B2" w:rsidP="005A42EB">
      <w:pPr>
        <w:pStyle w:val="ListParagraph"/>
        <w:numPr>
          <w:ilvl w:val="1"/>
          <w:numId w:val="24"/>
        </w:numPr>
      </w:pPr>
      <w:r>
        <w:t xml:space="preserve">Assuming the assets in the account </w:t>
      </w:r>
      <w:r>
        <w:t>are left in the account for the full ten years</w:t>
      </w:r>
      <w:r>
        <w:t>.</w:t>
      </w:r>
    </w:p>
    <w:p w14:paraId="49A03E34" w14:textId="1E3299E5" w:rsidR="005A42EB" w:rsidRDefault="005A42EB" w:rsidP="005A42EB">
      <w:pPr>
        <w:pStyle w:val="ListParagraph"/>
        <w:numPr>
          <w:ilvl w:val="1"/>
          <w:numId w:val="24"/>
        </w:numPr>
      </w:pPr>
      <w:r>
        <w:t>Assigning yearly gains adjusted for taxes compounded for 10 years.</w:t>
      </w:r>
      <w:r w:rsidR="007B77B2">
        <w:br/>
      </w:r>
    </w:p>
    <w:p w14:paraId="5F524838" w14:textId="6DD50FA8" w:rsidR="005A42EB" w:rsidRDefault="007B77B2" w:rsidP="005A42EB">
      <w:pPr>
        <w:pStyle w:val="ListParagraph"/>
        <w:numPr>
          <w:ilvl w:val="0"/>
          <w:numId w:val="24"/>
        </w:numPr>
      </w:pPr>
      <w:r>
        <w:t xml:space="preserve">Estimating the </w:t>
      </w:r>
      <w:r w:rsidR="005A42EB">
        <w:t>RothIRA</w:t>
      </w:r>
      <w:r w:rsidR="00CA131B">
        <w:t>10YrValue</w:t>
      </w:r>
      <w:r w:rsidR="005A42EB">
        <w:t xml:space="preserve"> </w:t>
      </w:r>
      <w:r w:rsidR="00CA131B">
        <w:t>i</w:t>
      </w:r>
      <w:r w:rsidR="005A42EB">
        <w:t>s by:</w:t>
      </w:r>
    </w:p>
    <w:p w14:paraId="7017422F" w14:textId="77777777" w:rsidR="007B77B2" w:rsidRDefault="007B77B2" w:rsidP="007B77B2">
      <w:pPr>
        <w:pStyle w:val="ListParagraph"/>
        <w:numPr>
          <w:ilvl w:val="1"/>
          <w:numId w:val="24"/>
        </w:numPr>
      </w:pPr>
      <w:r>
        <w:t>Assuming the assets in the account are left in the account for the full ten years.</w:t>
      </w:r>
    </w:p>
    <w:p w14:paraId="2F3E10F3" w14:textId="4CCFD0A0" w:rsidR="005A42EB" w:rsidRDefault="005A42EB" w:rsidP="005A42EB">
      <w:pPr>
        <w:pStyle w:val="ListParagraph"/>
        <w:numPr>
          <w:ilvl w:val="1"/>
          <w:numId w:val="24"/>
        </w:numPr>
      </w:pPr>
      <w:r>
        <w:t>Assigning yearly gains compounded for 10 years (Roth Account</w:t>
      </w:r>
      <w:r w:rsidR="007B77B2">
        <w:t xml:space="preserve">s need </w:t>
      </w:r>
      <w:r>
        <w:t>no tax adjustment).</w:t>
      </w:r>
    </w:p>
    <w:p w14:paraId="67234383" w14:textId="77777777" w:rsidR="007B77B2" w:rsidRDefault="007B77B2" w:rsidP="005A42EB">
      <w:r>
        <w:t xml:space="preserve">The respective </w:t>
      </w:r>
      <w:r w:rsidR="005A42EB">
        <w:t>value</w:t>
      </w:r>
      <w:r>
        <w:t>-</w:t>
      </w:r>
      <w:r w:rsidR="005A42EB">
        <w:t>weights ARE determined by</w:t>
      </w:r>
      <w:r>
        <w:t>:</w:t>
      </w:r>
    </w:p>
    <w:p w14:paraId="6C2DE722" w14:textId="01B42722" w:rsidR="005A42EB" w:rsidRDefault="007B77B2" w:rsidP="007B77B2">
      <w:pPr>
        <w:pStyle w:val="ListParagraph"/>
        <w:numPr>
          <w:ilvl w:val="0"/>
          <w:numId w:val="26"/>
        </w:numPr>
      </w:pPr>
      <w:proofErr w:type="spellStart"/>
      <w:r>
        <w:t>RothIRA</w:t>
      </w:r>
      <w:r w:rsidR="00CA131B">
        <w:t>V</w:t>
      </w:r>
      <w:r>
        <w:t>alue</w:t>
      </w:r>
      <w:r w:rsidR="00CA131B">
        <w:t>We</w:t>
      </w:r>
      <w:r>
        <w:t>ight</w:t>
      </w:r>
      <w:proofErr w:type="spellEnd"/>
      <w:r>
        <w:t xml:space="preserve"> = 1.0</w:t>
      </w:r>
    </w:p>
    <w:p w14:paraId="557543C5" w14:textId="4F777D28" w:rsidR="007B77B2" w:rsidRDefault="007B77B2" w:rsidP="007B77B2">
      <w:pPr>
        <w:pStyle w:val="ListParagraph"/>
        <w:numPr>
          <w:ilvl w:val="0"/>
          <w:numId w:val="26"/>
        </w:numPr>
      </w:pPr>
      <w:proofErr w:type="spellStart"/>
      <w:r>
        <w:t>TaxableBrokerage</w:t>
      </w:r>
      <w:r w:rsidR="00CA131B">
        <w:t>V</w:t>
      </w:r>
      <w:r>
        <w:t>alue</w:t>
      </w:r>
      <w:r w:rsidR="00CA131B">
        <w:t>W</w:t>
      </w:r>
      <w:r>
        <w:t>eight</w:t>
      </w:r>
      <w:proofErr w:type="spellEnd"/>
      <w:r>
        <w:t xml:space="preserve"> = Taxable</w:t>
      </w:r>
      <w:r w:rsidR="00CA131B">
        <w:t>Brolerage</w:t>
      </w:r>
      <w:r>
        <w:t>10YrValue / RothIRA10YrValue</w:t>
      </w:r>
    </w:p>
    <w:p w14:paraId="0EB5CF5C" w14:textId="7F3A4785" w:rsidR="007B77B2" w:rsidRDefault="007B77B2" w:rsidP="007B77B2">
      <w:pPr>
        <w:pStyle w:val="ListParagraph"/>
        <w:numPr>
          <w:ilvl w:val="0"/>
          <w:numId w:val="26"/>
        </w:numPr>
      </w:pPr>
      <w:proofErr w:type="spellStart"/>
      <w:r>
        <w:t>TraditionalIRA</w:t>
      </w:r>
      <w:r w:rsidR="00CA131B">
        <w:t>V</w:t>
      </w:r>
      <w:r>
        <w:t>alue</w:t>
      </w:r>
      <w:r w:rsidR="00CA131B">
        <w:t>W</w:t>
      </w:r>
      <w:r>
        <w:t>eight</w:t>
      </w:r>
      <w:proofErr w:type="spellEnd"/>
      <w:r>
        <w:t xml:space="preserve"> = </w:t>
      </w:r>
      <w:r>
        <w:t>TraditionalIRA10YrValue</w:t>
      </w:r>
      <w:r>
        <w:t xml:space="preserve"> / RothIRA10YrValue</w:t>
      </w:r>
    </w:p>
    <w:p w14:paraId="29DDE0EF" w14:textId="14941195" w:rsidR="00CA131B" w:rsidRDefault="00CA131B" w:rsidP="00CA131B">
      <w:r>
        <w:t>All very algorithmic, but not perfect.  It turns out that the calculated weights are somewhat sensitive to:</w:t>
      </w:r>
    </w:p>
    <w:p w14:paraId="27F3C1FE" w14:textId="77777777" w:rsidR="00CA131B" w:rsidRDefault="00CA131B" w:rsidP="00CA131B">
      <w:pPr>
        <w:pStyle w:val="ListParagraph"/>
        <w:numPr>
          <w:ilvl w:val="0"/>
          <w:numId w:val="27"/>
        </w:numPr>
      </w:pPr>
      <w:r>
        <w:t xml:space="preserve">The actual investment gain rate.  The weights currently being used were calculated assuming an investment gain of 6% year of year.  At 12%, </w:t>
      </w:r>
      <w:proofErr w:type="spellStart"/>
      <w:r>
        <w:t>TaxableBrokerageValueWeight</w:t>
      </w:r>
      <w:proofErr w:type="spellEnd"/>
      <w:r>
        <w:t xml:space="preserve"> can be as much as 13.5% more significant and </w:t>
      </w:r>
      <w:proofErr w:type="spellStart"/>
      <w:r>
        <w:t>TraditionalIRAValueWeight</w:t>
      </w:r>
      <w:proofErr w:type="spellEnd"/>
      <w:r>
        <w:t xml:space="preserve"> can be as much as 8% more significant.</w:t>
      </w:r>
    </w:p>
    <w:p w14:paraId="0F9937A1" w14:textId="713A4738" w:rsidR="007B77B2" w:rsidRDefault="00CA131B" w:rsidP="00CA131B">
      <w:pPr>
        <w:pStyle w:val="ListParagraph"/>
        <w:numPr>
          <w:ilvl w:val="0"/>
          <w:numId w:val="27"/>
        </w:numPr>
      </w:pPr>
      <w:r>
        <w:t xml:space="preserve">The actual </w:t>
      </w:r>
      <w:r w:rsidR="007234EB">
        <w:t xml:space="preserve">incremental </w:t>
      </w:r>
      <w:r>
        <w:t>Federal and State income tax rate of the owner.</w:t>
      </w:r>
      <w:r w:rsidR="007234EB">
        <w:t xml:space="preserve">  The cumulative rate chosen was about 26%, this rate is adjusted upwards as the size of the inherited IRA increases, perking out at about 40%.</w:t>
      </w:r>
      <w:r>
        <w:br/>
      </w:r>
    </w:p>
    <w:sectPr w:rsidR="007B77B2" w:rsidSect="00DB16A2">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11B"/>
    <w:multiLevelType w:val="hybridMultilevel"/>
    <w:tmpl w:val="B5F06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524AE"/>
    <w:multiLevelType w:val="hybridMultilevel"/>
    <w:tmpl w:val="A3FEB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23C5A"/>
    <w:multiLevelType w:val="hybridMultilevel"/>
    <w:tmpl w:val="07D49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3082D"/>
    <w:multiLevelType w:val="hybridMultilevel"/>
    <w:tmpl w:val="89D41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525D4F"/>
    <w:multiLevelType w:val="hybridMultilevel"/>
    <w:tmpl w:val="E28EF6A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0DD37D44"/>
    <w:multiLevelType w:val="hybridMultilevel"/>
    <w:tmpl w:val="ABA2E1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901849"/>
    <w:multiLevelType w:val="hybridMultilevel"/>
    <w:tmpl w:val="EEB42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F775D"/>
    <w:multiLevelType w:val="hybridMultilevel"/>
    <w:tmpl w:val="08D2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117E23"/>
    <w:multiLevelType w:val="hybridMultilevel"/>
    <w:tmpl w:val="B0261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74CA3"/>
    <w:multiLevelType w:val="hybridMultilevel"/>
    <w:tmpl w:val="ABA2E1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AEC183E"/>
    <w:multiLevelType w:val="hybridMultilevel"/>
    <w:tmpl w:val="52944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8C333F"/>
    <w:multiLevelType w:val="hybridMultilevel"/>
    <w:tmpl w:val="78943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9C5560"/>
    <w:multiLevelType w:val="hybridMultilevel"/>
    <w:tmpl w:val="0A747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132B3B"/>
    <w:multiLevelType w:val="hybridMultilevel"/>
    <w:tmpl w:val="D31EB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2D20E8"/>
    <w:multiLevelType w:val="hybridMultilevel"/>
    <w:tmpl w:val="41D618A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37894E9B"/>
    <w:multiLevelType w:val="hybridMultilevel"/>
    <w:tmpl w:val="89368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2471B5"/>
    <w:multiLevelType w:val="hybridMultilevel"/>
    <w:tmpl w:val="011E2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CF452B"/>
    <w:multiLevelType w:val="hybridMultilevel"/>
    <w:tmpl w:val="92B2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5C32A2"/>
    <w:multiLevelType w:val="hybridMultilevel"/>
    <w:tmpl w:val="804C5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9722E5"/>
    <w:multiLevelType w:val="hybridMultilevel"/>
    <w:tmpl w:val="B2DC4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BF398F"/>
    <w:multiLevelType w:val="hybridMultilevel"/>
    <w:tmpl w:val="AF56E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C4EA2"/>
    <w:multiLevelType w:val="hybridMultilevel"/>
    <w:tmpl w:val="E4449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607B6F"/>
    <w:multiLevelType w:val="hybridMultilevel"/>
    <w:tmpl w:val="5328A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13CD3"/>
    <w:multiLevelType w:val="hybridMultilevel"/>
    <w:tmpl w:val="50229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5F7A74"/>
    <w:multiLevelType w:val="hybridMultilevel"/>
    <w:tmpl w:val="2E389F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09356A"/>
    <w:multiLevelType w:val="hybridMultilevel"/>
    <w:tmpl w:val="B9EC3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374A36"/>
    <w:multiLevelType w:val="hybridMultilevel"/>
    <w:tmpl w:val="7CAE9C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2960377">
    <w:abstractNumId w:val="17"/>
  </w:num>
  <w:num w:numId="2" w16cid:durableId="289095955">
    <w:abstractNumId w:val="20"/>
  </w:num>
  <w:num w:numId="3" w16cid:durableId="806774591">
    <w:abstractNumId w:val="12"/>
  </w:num>
  <w:num w:numId="4" w16cid:durableId="569736681">
    <w:abstractNumId w:val="15"/>
  </w:num>
  <w:num w:numId="5" w16cid:durableId="1245258286">
    <w:abstractNumId w:val="26"/>
  </w:num>
  <w:num w:numId="6" w16cid:durableId="217517940">
    <w:abstractNumId w:val="1"/>
  </w:num>
  <w:num w:numId="7" w16cid:durableId="397021798">
    <w:abstractNumId w:val="3"/>
  </w:num>
  <w:num w:numId="8" w16cid:durableId="1280911898">
    <w:abstractNumId w:val="24"/>
  </w:num>
  <w:num w:numId="9" w16cid:durableId="1559173098">
    <w:abstractNumId w:val="9"/>
  </w:num>
  <w:num w:numId="10" w16cid:durableId="2018313285">
    <w:abstractNumId w:val="5"/>
  </w:num>
  <w:num w:numId="11" w16cid:durableId="1330140479">
    <w:abstractNumId w:val="11"/>
  </w:num>
  <w:num w:numId="12" w16cid:durableId="675301429">
    <w:abstractNumId w:val="25"/>
  </w:num>
  <w:num w:numId="13" w16cid:durableId="978146307">
    <w:abstractNumId w:val="16"/>
  </w:num>
  <w:num w:numId="14" w16cid:durableId="1142232964">
    <w:abstractNumId w:val="21"/>
  </w:num>
  <w:num w:numId="15" w16cid:durableId="939146887">
    <w:abstractNumId w:val="6"/>
  </w:num>
  <w:num w:numId="16" w16cid:durableId="892738518">
    <w:abstractNumId w:val="8"/>
  </w:num>
  <w:num w:numId="17" w16cid:durableId="799803991">
    <w:abstractNumId w:val="23"/>
  </w:num>
  <w:num w:numId="18" w16cid:durableId="1720939685">
    <w:abstractNumId w:val="18"/>
  </w:num>
  <w:num w:numId="19" w16cid:durableId="184952591">
    <w:abstractNumId w:val="13"/>
  </w:num>
  <w:num w:numId="20" w16cid:durableId="858129077">
    <w:abstractNumId w:val="10"/>
  </w:num>
  <w:num w:numId="21" w16cid:durableId="1494687556">
    <w:abstractNumId w:val="14"/>
  </w:num>
  <w:num w:numId="22" w16cid:durableId="1429613984">
    <w:abstractNumId w:val="7"/>
  </w:num>
  <w:num w:numId="23" w16cid:durableId="371271717">
    <w:abstractNumId w:val="22"/>
  </w:num>
  <w:num w:numId="24" w16cid:durableId="449054503">
    <w:abstractNumId w:val="0"/>
  </w:num>
  <w:num w:numId="25" w16cid:durableId="1776748303">
    <w:abstractNumId w:val="2"/>
  </w:num>
  <w:num w:numId="26" w16cid:durableId="1519931740">
    <w:abstractNumId w:val="4"/>
  </w:num>
  <w:num w:numId="27" w16cid:durableId="8678323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1FE"/>
    <w:rsid w:val="00063999"/>
    <w:rsid w:val="00073DAB"/>
    <w:rsid w:val="000742F9"/>
    <w:rsid w:val="000B53B0"/>
    <w:rsid w:val="000C44A8"/>
    <w:rsid w:val="00116F84"/>
    <w:rsid w:val="00126E9E"/>
    <w:rsid w:val="00166E0F"/>
    <w:rsid w:val="00171621"/>
    <w:rsid w:val="001B7EFA"/>
    <w:rsid w:val="001E509E"/>
    <w:rsid w:val="00203597"/>
    <w:rsid w:val="002144C5"/>
    <w:rsid w:val="00216284"/>
    <w:rsid w:val="0027346B"/>
    <w:rsid w:val="002C1E6A"/>
    <w:rsid w:val="00356015"/>
    <w:rsid w:val="003B0D68"/>
    <w:rsid w:val="003F6223"/>
    <w:rsid w:val="00491B19"/>
    <w:rsid w:val="004A5BE1"/>
    <w:rsid w:val="004B43F4"/>
    <w:rsid w:val="004C1FED"/>
    <w:rsid w:val="00506E94"/>
    <w:rsid w:val="005A42EB"/>
    <w:rsid w:val="005A56D4"/>
    <w:rsid w:val="005D7FA2"/>
    <w:rsid w:val="0060088A"/>
    <w:rsid w:val="00610DA7"/>
    <w:rsid w:val="006179BA"/>
    <w:rsid w:val="00626A29"/>
    <w:rsid w:val="00640CED"/>
    <w:rsid w:val="006718A6"/>
    <w:rsid w:val="006A7A60"/>
    <w:rsid w:val="006C25FB"/>
    <w:rsid w:val="006D1BB8"/>
    <w:rsid w:val="007234EB"/>
    <w:rsid w:val="007831FE"/>
    <w:rsid w:val="00784DC6"/>
    <w:rsid w:val="0079596C"/>
    <w:rsid w:val="007B77B2"/>
    <w:rsid w:val="007F7EBF"/>
    <w:rsid w:val="00800873"/>
    <w:rsid w:val="008011CE"/>
    <w:rsid w:val="0082775B"/>
    <w:rsid w:val="008433FC"/>
    <w:rsid w:val="008B75D1"/>
    <w:rsid w:val="008F32B1"/>
    <w:rsid w:val="0094367B"/>
    <w:rsid w:val="009448A3"/>
    <w:rsid w:val="00947181"/>
    <w:rsid w:val="00991EE2"/>
    <w:rsid w:val="009C4F1C"/>
    <w:rsid w:val="00A00A6C"/>
    <w:rsid w:val="00A01ADE"/>
    <w:rsid w:val="00A5204F"/>
    <w:rsid w:val="00B006BD"/>
    <w:rsid w:val="00B01AAA"/>
    <w:rsid w:val="00B25480"/>
    <w:rsid w:val="00B43217"/>
    <w:rsid w:val="00B50DE6"/>
    <w:rsid w:val="00B73E0D"/>
    <w:rsid w:val="00B96047"/>
    <w:rsid w:val="00BA643C"/>
    <w:rsid w:val="00BB525E"/>
    <w:rsid w:val="00C017BA"/>
    <w:rsid w:val="00C6438B"/>
    <w:rsid w:val="00C66AED"/>
    <w:rsid w:val="00C67D72"/>
    <w:rsid w:val="00C867C3"/>
    <w:rsid w:val="00CA131B"/>
    <w:rsid w:val="00CA1B01"/>
    <w:rsid w:val="00CB0AB4"/>
    <w:rsid w:val="00CC6876"/>
    <w:rsid w:val="00D45FEC"/>
    <w:rsid w:val="00D540E6"/>
    <w:rsid w:val="00D71520"/>
    <w:rsid w:val="00D91AF4"/>
    <w:rsid w:val="00DA3FB0"/>
    <w:rsid w:val="00DA57B4"/>
    <w:rsid w:val="00DA7083"/>
    <w:rsid w:val="00DB16A2"/>
    <w:rsid w:val="00DE020E"/>
    <w:rsid w:val="00DE475B"/>
    <w:rsid w:val="00DE65CD"/>
    <w:rsid w:val="00DE7B81"/>
    <w:rsid w:val="00DF0EC9"/>
    <w:rsid w:val="00E019E6"/>
    <w:rsid w:val="00E26777"/>
    <w:rsid w:val="00E6620D"/>
    <w:rsid w:val="00E771DC"/>
    <w:rsid w:val="00ED701A"/>
    <w:rsid w:val="00EE451F"/>
    <w:rsid w:val="00EE5162"/>
    <w:rsid w:val="00EE59E7"/>
    <w:rsid w:val="00EF1C6E"/>
    <w:rsid w:val="00EF6EA1"/>
    <w:rsid w:val="00F27365"/>
    <w:rsid w:val="00F75EFF"/>
    <w:rsid w:val="00F86458"/>
    <w:rsid w:val="00FA5EF4"/>
    <w:rsid w:val="00FB0451"/>
    <w:rsid w:val="00FB7FDC"/>
    <w:rsid w:val="00FE3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AFABB"/>
  <w15:chartTrackingRefBased/>
  <w15:docId w15:val="{A61D5DFF-5FD9-CF4C-8EDF-1B930284B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1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3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31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31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831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1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31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31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831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831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1FE"/>
    <w:rPr>
      <w:rFonts w:eastAsiaTheme="majorEastAsia" w:cstheme="majorBidi"/>
      <w:color w:val="272727" w:themeColor="text1" w:themeTint="D8"/>
    </w:rPr>
  </w:style>
  <w:style w:type="paragraph" w:styleId="Title">
    <w:name w:val="Title"/>
    <w:basedOn w:val="Normal"/>
    <w:next w:val="Normal"/>
    <w:link w:val="TitleChar"/>
    <w:uiPriority w:val="10"/>
    <w:qFormat/>
    <w:rsid w:val="00783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1FE"/>
    <w:pPr>
      <w:spacing w:before="160"/>
      <w:jc w:val="center"/>
    </w:pPr>
    <w:rPr>
      <w:i/>
      <w:iCs/>
      <w:color w:val="404040" w:themeColor="text1" w:themeTint="BF"/>
    </w:rPr>
  </w:style>
  <w:style w:type="character" w:customStyle="1" w:styleId="QuoteChar">
    <w:name w:val="Quote Char"/>
    <w:basedOn w:val="DefaultParagraphFont"/>
    <w:link w:val="Quote"/>
    <w:uiPriority w:val="29"/>
    <w:rsid w:val="007831FE"/>
    <w:rPr>
      <w:i/>
      <w:iCs/>
      <w:color w:val="404040" w:themeColor="text1" w:themeTint="BF"/>
    </w:rPr>
  </w:style>
  <w:style w:type="paragraph" w:styleId="ListParagraph">
    <w:name w:val="List Paragraph"/>
    <w:basedOn w:val="Normal"/>
    <w:uiPriority w:val="34"/>
    <w:qFormat/>
    <w:rsid w:val="007831FE"/>
    <w:pPr>
      <w:ind w:left="720"/>
      <w:contextualSpacing/>
    </w:pPr>
  </w:style>
  <w:style w:type="character" w:styleId="IntenseEmphasis">
    <w:name w:val="Intense Emphasis"/>
    <w:basedOn w:val="DefaultParagraphFont"/>
    <w:uiPriority w:val="21"/>
    <w:qFormat/>
    <w:rsid w:val="007831FE"/>
    <w:rPr>
      <w:i/>
      <w:iCs/>
      <w:color w:val="2F5496" w:themeColor="accent1" w:themeShade="BF"/>
    </w:rPr>
  </w:style>
  <w:style w:type="paragraph" w:styleId="IntenseQuote">
    <w:name w:val="Intense Quote"/>
    <w:basedOn w:val="Normal"/>
    <w:next w:val="Normal"/>
    <w:link w:val="IntenseQuoteChar"/>
    <w:uiPriority w:val="30"/>
    <w:qFormat/>
    <w:rsid w:val="00783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1FE"/>
    <w:rPr>
      <w:i/>
      <w:iCs/>
      <w:color w:val="2F5496" w:themeColor="accent1" w:themeShade="BF"/>
    </w:rPr>
  </w:style>
  <w:style w:type="character" w:styleId="IntenseReference">
    <w:name w:val="Intense Reference"/>
    <w:basedOn w:val="DefaultParagraphFont"/>
    <w:uiPriority w:val="32"/>
    <w:qFormat/>
    <w:rsid w:val="007831FE"/>
    <w:rPr>
      <w:b/>
      <w:bCs/>
      <w:smallCaps/>
      <w:color w:val="2F5496" w:themeColor="accent1" w:themeShade="BF"/>
      <w:spacing w:val="5"/>
    </w:rPr>
  </w:style>
  <w:style w:type="paragraph" w:styleId="TOCHeading">
    <w:name w:val="TOC Heading"/>
    <w:basedOn w:val="Heading1"/>
    <w:next w:val="Normal"/>
    <w:uiPriority w:val="39"/>
    <w:unhideWhenUsed/>
    <w:qFormat/>
    <w:rsid w:val="007831FE"/>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7831FE"/>
    <w:pPr>
      <w:spacing w:before="120" w:after="0"/>
    </w:pPr>
    <w:rPr>
      <w:rFonts w:cstheme="minorHAnsi"/>
      <w:b/>
      <w:bCs/>
      <w:i/>
      <w:iCs/>
    </w:rPr>
  </w:style>
  <w:style w:type="paragraph" w:styleId="TOC2">
    <w:name w:val="toc 2"/>
    <w:basedOn w:val="Normal"/>
    <w:next w:val="Normal"/>
    <w:autoRedefine/>
    <w:uiPriority w:val="39"/>
    <w:unhideWhenUsed/>
    <w:rsid w:val="007831FE"/>
    <w:pPr>
      <w:spacing w:before="120" w:after="0"/>
      <w:ind w:left="240"/>
    </w:pPr>
    <w:rPr>
      <w:rFonts w:cstheme="minorHAnsi"/>
      <w:b/>
      <w:bCs/>
      <w:sz w:val="22"/>
      <w:szCs w:val="22"/>
    </w:rPr>
  </w:style>
  <w:style w:type="paragraph" w:styleId="TOC3">
    <w:name w:val="toc 3"/>
    <w:basedOn w:val="Normal"/>
    <w:next w:val="Normal"/>
    <w:autoRedefine/>
    <w:uiPriority w:val="39"/>
    <w:unhideWhenUsed/>
    <w:rsid w:val="007831FE"/>
    <w:pPr>
      <w:spacing w:after="0"/>
      <w:ind w:left="480"/>
    </w:pPr>
    <w:rPr>
      <w:rFonts w:cstheme="minorHAnsi"/>
      <w:sz w:val="20"/>
      <w:szCs w:val="20"/>
    </w:rPr>
  </w:style>
  <w:style w:type="character" w:styleId="Hyperlink">
    <w:name w:val="Hyperlink"/>
    <w:basedOn w:val="DefaultParagraphFont"/>
    <w:uiPriority w:val="99"/>
    <w:unhideWhenUsed/>
    <w:rsid w:val="007831FE"/>
    <w:rPr>
      <w:color w:val="0563C1" w:themeColor="hyperlink"/>
      <w:u w:val="single"/>
    </w:rPr>
  </w:style>
  <w:style w:type="paragraph" w:styleId="TOC4">
    <w:name w:val="toc 4"/>
    <w:basedOn w:val="Normal"/>
    <w:next w:val="Normal"/>
    <w:autoRedefine/>
    <w:uiPriority w:val="39"/>
    <w:semiHidden/>
    <w:unhideWhenUsed/>
    <w:rsid w:val="007831FE"/>
    <w:pPr>
      <w:spacing w:after="0"/>
      <w:ind w:left="720"/>
    </w:pPr>
    <w:rPr>
      <w:rFonts w:cstheme="minorHAnsi"/>
      <w:sz w:val="20"/>
      <w:szCs w:val="20"/>
    </w:rPr>
  </w:style>
  <w:style w:type="paragraph" w:styleId="TOC5">
    <w:name w:val="toc 5"/>
    <w:basedOn w:val="Normal"/>
    <w:next w:val="Normal"/>
    <w:autoRedefine/>
    <w:uiPriority w:val="39"/>
    <w:semiHidden/>
    <w:unhideWhenUsed/>
    <w:rsid w:val="007831FE"/>
    <w:pPr>
      <w:spacing w:after="0"/>
      <w:ind w:left="960"/>
    </w:pPr>
    <w:rPr>
      <w:rFonts w:cstheme="minorHAnsi"/>
      <w:sz w:val="20"/>
      <w:szCs w:val="20"/>
    </w:rPr>
  </w:style>
  <w:style w:type="paragraph" w:styleId="TOC6">
    <w:name w:val="toc 6"/>
    <w:basedOn w:val="Normal"/>
    <w:next w:val="Normal"/>
    <w:autoRedefine/>
    <w:uiPriority w:val="39"/>
    <w:semiHidden/>
    <w:unhideWhenUsed/>
    <w:rsid w:val="007831FE"/>
    <w:pPr>
      <w:spacing w:after="0"/>
      <w:ind w:left="1200"/>
    </w:pPr>
    <w:rPr>
      <w:rFonts w:cstheme="minorHAnsi"/>
      <w:sz w:val="20"/>
      <w:szCs w:val="20"/>
    </w:rPr>
  </w:style>
  <w:style w:type="paragraph" w:styleId="TOC7">
    <w:name w:val="toc 7"/>
    <w:basedOn w:val="Normal"/>
    <w:next w:val="Normal"/>
    <w:autoRedefine/>
    <w:uiPriority w:val="39"/>
    <w:semiHidden/>
    <w:unhideWhenUsed/>
    <w:rsid w:val="007831FE"/>
    <w:pPr>
      <w:spacing w:after="0"/>
      <w:ind w:left="1440"/>
    </w:pPr>
    <w:rPr>
      <w:rFonts w:cstheme="minorHAnsi"/>
      <w:sz w:val="20"/>
      <w:szCs w:val="20"/>
    </w:rPr>
  </w:style>
  <w:style w:type="paragraph" w:styleId="TOC8">
    <w:name w:val="toc 8"/>
    <w:basedOn w:val="Normal"/>
    <w:next w:val="Normal"/>
    <w:autoRedefine/>
    <w:uiPriority w:val="39"/>
    <w:semiHidden/>
    <w:unhideWhenUsed/>
    <w:rsid w:val="007831FE"/>
    <w:pPr>
      <w:spacing w:after="0"/>
      <w:ind w:left="1680"/>
    </w:pPr>
    <w:rPr>
      <w:rFonts w:cstheme="minorHAnsi"/>
      <w:sz w:val="20"/>
      <w:szCs w:val="20"/>
    </w:rPr>
  </w:style>
  <w:style w:type="paragraph" w:styleId="TOC9">
    <w:name w:val="toc 9"/>
    <w:basedOn w:val="Normal"/>
    <w:next w:val="Normal"/>
    <w:autoRedefine/>
    <w:uiPriority w:val="39"/>
    <w:semiHidden/>
    <w:unhideWhenUsed/>
    <w:rsid w:val="007831FE"/>
    <w:pPr>
      <w:spacing w:after="0"/>
      <w:ind w:left="1920"/>
    </w:pPr>
    <w:rPr>
      <w:rFonts w:cstheme="minorHAnsi"/>
      <w:sz w:val="20"/>
      <w:szCs w:val="20"/>
    </w:rPr>
  </w:style>
  <w:style w:type="character" w:styleId="UnresolvedMention">
    <w:name w:val="Unresolved Mention"/>
    <w:basedOn w:val="DefaultParagraphFont"/>
    <w:uiPriority w:val="99"/>
    <w:semiHidden/>
    <w:unhideWhenUsed/>
    <w:rsid w:val="00506E94"/>
    <w:rPr>
      <w:color w:val="605E5C"/>
      <w:shd w:val="clear" w:color="auto" w:fill="E1DFDD"/>
    </w:rPr>
  </w:style>
  <w:style w:type="character" w:styleId="FollowedHyperlink">
    <w:name w:val="FollowedHyperlink"/>
    <w:basedOn w:val="DefaultParagraphFont"/>
    <w:uiPriority w:val="99"/>
    <w:semiHidden/>
    <w:unhideWhenUsed/>
    <w:rsid w:val="00B96047"/>
    <w:rPr>
      <w:color w:val="954F72" w:themeColor="followedHyperlink"/>
      <w:u w:val="single"/>
    </w:rPr>
  </w:style>
  <w:style w:type="paragraph" w:styleId="NoSpacing">
    <w:name w:val="No Spacing"/>
    <w:uiPriority w:val="1"/>
    <w:qFormat/>
    <w:rsid w:val="00C6438B"/>
    <w:pPr>
      <w:spacing w:after="0" w:line="240" w:lineRule="auto"/>
    </w:pPr>
  </w:style>
  <w:style w:type="character" w:styleId="SubtleReference">
    <w:name w:val="Subtle Reference"/>
    <w:basedOn w:val="DefaultParagraphFont"/>
    <w:uiPriority w:val="31"/>
    <w:qFormat/>
    <w:rsid w:val="003B0D68"/>
    <w:rPr>
      <w:smallCaps/>
      <w:color w:val="5A5A5A" w:themeColor="text1" w:themeTint="A5"/>
    </w:rPr>
  </w:style>
  <w:style w:type="table" w:styleId="TableGrid">
    <w:name w:val="Table Grid"/>
    <w:basedOn w:val="TableNormal"/>
    <w:uiPriority w:val="39"/>
    <w:rsid w:val="00C8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C1E6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69086">
      <w:bodyDiv w:val="1"/>
      <w:marLeft w:val="0"/>
      <w:marRight w:val="0"/>
      <w:marTop w:val="0"/>
      <w:marBottom w:val="0"/>
      <w:divBdr>
        <w:top w:val="none" w:sz="0" w:space="0" w:color="auto"/>
        <w:left w:val="none" w:sz="0" w:space="0" w:color="auto"/>
        <w:bottom w:val="none" w:sz="0" w:space="0" w:color="auto"/>
        <w:right w:val="none" w:sz="0" w:space="0" w:color="auto"/>
      </w:divBdr>
      <w:divsChild>
        <w:div w:id="506944842">
          <w:marLeft w:val="0"/>
          <w:marRight w:val="0"/>
          <w:marTop w:val="0"/>
          <w:marBottom w:val="0"/>
          <w:divBdr>
            <w:top w:val="none" w:sz="0" w:space="0" w:color="auto"/>
            <w:left w:val="none" w:sz="0" w:space="0" w:color="auto"/>
            <w:bottom w:val="none" w:sz="0" w:space="0" w:color="auto"/>
            <w:right w:val="none" w:sz="0" w:space="0" w:color="auto"/>
          </w:divBdr>
        </w:div>
      </w:divsChild>
    </w:div>
    <w:div w:id="2108697416">
      <w:bodyDiv w:val="1"/>
      <w:marLeft w:val="0"/>
      <w:marRight w:val="0"/>
      <w:marTop w:val="0"/>
      <w:marBottom w:val="0"/>
      <w:divBdr>
        <w:top w:val="none" w:sz="0" w:space="0" w:color="auto"/>
        <w:left w:val="none" w:sz="0" w:space="0" w:color="auto"/>
        <w:bottom w:val="none" w:sz="0" w:space="0" w:color="auto"/>
        <w:right w:val="none" w:sz="0" w:space="0" w:color="auto"/>
      </w:divBdr>
      <w:divsChild>
        <w:div w:id="1475760017">
          <w:marLeft w:val="0"/>
          <w:marRight w:val="0"/>
          <w:marTop w:val="0"/>
          <w:marBottom w:val="0"/>
          <w:divBdr>
            <w:top w:val="none" w:sz="0" w:space="0" w:color="auto"/>
            <w:left w:val="none" w:sz="0" w:space="0" w:color="auto"/>
            <w:bottom w:val="none" w:sz="0" w:space="0" w:color="auto"/>
            <w:right w:val="none" w:sz="0" w:space="0" w:color="auto"/>
          </w:divBdr>
          <w:divsChild>
            <w:div w:id="862287983">
              <w:marLeft w:val="0"/>
              <w:marRight w:val="0"/>
              <w:marTop w:val="0"/>
              <w:marBottom w:val="0"/>
              <w:divBdr>
                <w:top w:val="none" w:sz="0" w:space="0" w:color="auto"/>
                <w:left w:val="none" w:sz="0" w:space="0" w:color="auto"/>
                <w:bottom w:val="none" w:sz="0" w:space="0" w:color="auto"/>
                <w:right w:val="none" w:sz="0" w:space="0" w:color="auto"/>
              </w:divBdr>
            </w:div>
            <w:div w:id="1432513181">
              <w:marLeft w:val="0"/>
              <w:marRight w:val="0"/>
              <w:marTop w:val="0"/>
              <w:marBottom w:val="0"/>
              <w:divBdr>
                <w:top w:val="none" w:sz="0" w:space="0" w:color="auto"/>
                <w:left w:val="none" w:sz="0" w:space="0" w:color="auto"/>
                <w:bottom w:val="none" w:sz="0" w:space="0" w:color="auto"/>
                <w:right w:val="none" w:sz="0" w:space="0" w:color="auto"/>
              </w:divBdr>
            </w:div>
            <w:div w:id="977684505">
              <w:marLeft w:val="0"/>
              <w:marRight w:val="0"/>
              <w:marTop w:val="0"/>
              <w:marBottom w:val="0"/>
              <w:divBdr>
                <w:top w:val="none" w:sz="0" w:space="0" w:color="auto"/>
                <w:left w:val="none" w:sz="0" w:space="0" w:color="auto"/>
                <w:bottom w:val="none" w:sz="0" w:space="0" w:color="auto"/>
                <w:right w:val="none" w:sz="0" w:space="0" w:color="auto"/>
              </w:divBdr>
            </w:div>
            <w:div w:id="3705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image" Target="media/image13.sv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svg"/><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sv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image" Target="media/image18.png"/><Relationship Id="rId28" Type="http://schemas.openxmlformats.org/officeDocument/2006/relationships/image" Target="media/image23.sv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2BEF5-3ECF-AE4C-8130-CFD6757DE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21</Pages>
  <Words>4081</Words>
  <Characters>23263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Kalan</dc:creator>
  <cp:keywords/>
  <dc:description/>
  <cp:lastModifiedBy>Michael Kalan</cp:lastModifiedBy>
  <cp:revision>19</cp:revision>
  <dcterms:created xsi:type="dcterms:W3CDTF">2025-05-22T14:34:00Z</dcterms:created>
  <dcterms:modified xsi:type="dcterms:W3CDTF">2025-12-08T21:50:00Z</dcterms:modified>
</cp:coreProperties>
</file>