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2"/>
          <w:szCs w:val="32"/>
        </w:rPr>
      </w:pPr>
      <w:bookmarkStart w:colFirst="0" w:colLast="0" w:name="_syfztzk5huwf" w:id="0"/>
      <w:bookmarkEnd w:id="0"/>
      <w:r w:rsidDel="00000000" w:rsidR="00000000" w:rsidRPr="00000000">
        <w:rPr>
          <w:sz w:val="32"/>
          <w:szCs w:val="32"/>
          <w:rtl w:val="0"/>
        </w:rPr>
        <w:t xml:space="preserve">Закупка SSD накопителей для ИТ компании</w:t>
      </w:r>
    </w:p>
    <w:p w:rsidR="00000000" w:rsidDel="00000000" w:rsidP="00000000" w:rsidRDefault="00000000" w:rsidRPr="00000000" w14:paraId="00000002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Распределение SSD по подразделениям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15.0" w:type="dxa"/>
        <w:tblLayout w:type="fixed"/>
        <w:tblLook w:val="0400"/>
      </w:tblPr>
      <w:tblGrid>
        <w:gridCol w:w="1800"/>
        <w:gridCol w:w="2280"/>
        <w:gridCol w:w="1800"/>
        <w:gridCol w:w="1590"/>
        <w:gridCol w:w="2730"/>
        <w:tblGridChange w:id="0">
          <w:tblGrid>
            <w:gridCol w:w="1800"/>
            <w:gridCol w:w="2280"/>
            <w:gridCol w:w="1800"/>
            <w:gridCol w:w="1590"/>
            <w:gridCol w:w="2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3434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jc w:val="center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color w:val="ffffff"/>
                <w:sz w:val="20"/>
                <w:szCs w:val="20"/>
                <w:rtl w:val="0"/>
              </w:rPr>
              <w:t xml:space="preserve">Подразделение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3434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jc w:val="center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color w:val="ffffff"/>
                <w:sz w:val="20"/>
                <w:szCs w:val="20"/>
                <w:rtl w:val="0"/>
              </w:rPr>
              <w:t xml:space="preserve">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3434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jc w:val="center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color w:val="ffffff"/>
                <w:sz w:val="20"/>
                <w:szCs w:val="20"/>
                <w:rtl w:val="0"/>
              </w:rPr>
              <w:t xml:space="preserve">Диапазон из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3434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jc w:val="center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color w:val="ffffff"/>
                <w:sz w:val="20"/>
                <w:szCs w:val="20"/>
                <w:rtl w:val="0"/>
              </w:rPr>
              <w:t xml:space="preserve">Рекомен. емкость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3434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jc w:val="center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color w:val="ffffff"/>
                <w:sz w:val="20"/>
                <w:szCs w:val="20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Бухгалтерия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Офисные документы и 1С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240-256 ГБ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256 ГБ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Достаточно для операционной системы, офисных файлов, клиента 1С и рабочего кэша.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Отдел разработки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Код, контейнеры, локальные СУБД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480-512 ГБ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512 ГБ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Нужно место под репозитории, зависимости, образы контейнеров и тестовые базы данных.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Отдел дизайна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Графика, видео, макеты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960-1024 ГБ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1 ТБ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Большие исходники и временные файлы требуют повышенной емкости и стабильной скорости записи.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Серверный сегмент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Виртуальные машины и базы данных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1920-2048 ГБ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2 ТБ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Для серверов важны ресурс записи, стабильная задержка и поддержка мониторинга состояния.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Архивный сервер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Долговременное хранение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3840-4096 ГБ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4 ТБ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rPr>
                <w:rFonts w:ascii="Google Sans Medium" w:cs="Google Sans Medium" w:eastAsia="Google Sans Medium" w:hAnsi="Google Sans Medium"/>
                <w:sz w:val="20"/>
                <w:szCs w:val="20"/>
              </w:rPr>
            </w:pPr>
            <w:r w:rsidDel="00000000" w:rsidR="00000000" w:rsidRPr="00000000">
              <w:rPr>
                <w:rFonts w:ascii="Google Sans Medium" w:cs="Google Sans Medium" w:eastAsia="Google Sans Medium" w:hAnsi="Google Sans Medium"/>
                <w:sz w:val="20"/>
                <w:szCs w:val="20"/>
                <w:rtl w:val="0"/>
              </w:rPr>
              <w:t xml:space="preserve">Приоритет - емкость, надежность хранения, прогнозируемый ресурс и совместимость с резервным копированием.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Единые требования к закупке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рабочих станций желательно использовать одну основную линейку SSD с единым форм фактором и интерфейсом, если это допускает парк компьютеров.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серверного сегмента и архива следует выделить отдельный класс накопителей с повышенным ресурсом записи и поддержкой диагностики состояния.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накопители должны поддерживать S.M.A.R.T. или аналогичную диагностику, чтобы администратор мог заранее выявлять деградацию.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Файловые системы, резервное копирование и мониторинг должны работать с выбранными емкостями без ручных исключений для каждого отдела.</w:t>
      </w:r>
    </w:p>
    <w:p w:rsidR="00000000" w:rsidDel="00000000" w:rsidP="00000000" w:rsidRDefault="00000000" w:rsidRPr="00000000" w14:paraId="00000027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Совместимость и параметры унификации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Ниже указаны внешние системы и компоненты, с которыми новые SSD должны быть совместимы. Для каждого объекта выделен параметр, который нужно унифицировать при закупке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-115.0" w:type="dxa"/>
        <w:tblLayout w:type="fixed"/>
        <w:tblLook w:val="0400"/>
      </w:tblPr>
      <w:tblGrid>
        <w:gridCol w:w="495"/>
        <w:gridCol w:w="3000"/>
        <w:gridCol w:w="4155"/>
        <w:gridCol w:w="2550"/>
        <w:tblGridChange w:id="0">
          <w:tblGrid>
            <w:gridCol w:w="495"/>
            <w:gridCol w:w="3000"/>
            <w:gridCol w:w="4155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Внешняя система или 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Требование совместимости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 унификации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Материнские платы рабочих станций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Накопитель должен устанавливаться в доступные разъемы и работать без переходников.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Форм фактор и интерфейс: M.2 2280 NVMe или 2.5 SATA по фактическому парку компьютеров.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BIOS или UEFI компьютеров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Система должна видеть SSD как загрузочный диск и корректно запускать операционную систему.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Режим загрузки UEFI, таблица разделов GPT, поддержка NVMe или AHCI.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Корпуса, салазки и серверные корзины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Диски должны физически помещаться в рабочие станции и серверы, включая крепления и охлаждение.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Посадочное место, высота корпуса, тип крепления, поддержка горячей замены для серверов.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Контроллеры хранения и серверные платы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Серверные SSD должны работать с контроллерами без потери скорости и диагностических функций.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Протокол подключения, режим работы контроллера, поддержка очередей команд и мониторинга состояния.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Операционные системы и СУБД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Windows, Linux, 1С и базы данных должны стабильно работать с диском как с системным или рабочим хранилищем.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Драйверы, размер логического сектора 512e или 4Kn, файловая система и выравнивание разделов.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Система резервного копирования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Архивные и серверные SSD должны корректно участвовать в расписании копирования и восстановления.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Единые тома, понятные имена разделов, поддерживаемая емкость, формат файловой системы.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Система мониторинга и инвентаризации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Администратор должен видеть состояние, серийные номера, ресурс и ошибки накопителей.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S.M.A.R.T. или NVMe Health, единые пороги предупреждений, единый формат учета серийных номеров.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Для закупки следует разделить SSD на пять емкостных групп: 256 ГБ для бухгалтерии, 512 ГБ для разработки, 1 ТБ для дизайна, 2 ТБ для серверного сегмента и 4 ТБ для архивного сервера. Основной принцип унификации - выбирать накопители не только по объему, но и по совместимости с оборудованием, загрузочной средой, операционными системами, резервным копированием и мониторингом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/>
    <w:rPr>
      <w:rFonts w:ascii="Google Sans" w:cs="Google Sans" w:eastAsia="Google Sans" w:hAnsi="Google Sans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GoogleSansMedium-regular.ttf"/><Relationship Id="rId6" Type="http://schemas.openxmlformats.org/officeDocument/2006/relationships/font" Target="fonts/GoogleSansMedium-bold.ttf"/><Relationship Id="rId7" Type="http://schemas.openxmlformats.org/officeDocument/2006/relationships/font" Target="fonts/GoogleSansMedium-italic.ttf"/><Relationship Id="rId8" Type="http://schemas.openxmlformats.org/officeDocument/2006/relationships/font" Target="fonts/Google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