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left w:color="auto" w:space="0" w:sz="0" w:val="none"/>
          <w:right w:color="auto" w:space="0" w:sz="0" w:val="none"/>
        </w:pBdr>
        <w:rPr>
          <w:rFonts w:ascii="Roboto" w:cs="Roboto" w:eastAsia="Roboto" w:hAnsi="Roboto"/>
          <w:color w:val="2e74b5"/>
        </w:rPr>
      </w:pPr>
      <w:bookmarkStart w:colFirst="0" w:colLast="0" w:name="_ptrl22xrhvl" w:id="0"/>
      <w:bookmarkEnd w:id="0"/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Vënon College Demo</w:t>
      </w:r>
      <w:r w:rsidDel="00000000" w:rsidR="00000000" w:rsidRPr="00000000">
        <w:rPr>
          <w:rFonts w:ascii="Roboto" w:cs="Roboto" w:eastAsia="Roboto" w:hAnsi="Roboto"/>
          <w:color w:val="2e74b5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left w:color="auto" w:space="0" w:sz="0" w:val="none"/>
          <w:right w:color="auto" w:space="0" w:sz="0" w:val="none"/>
        </w:pBd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left w:color="auto" w:space="0" w:sz="0" w:val="none"/>
          <w:right w:color="auto" w:space="0" w:sz="0" w:val="none"/>
        </w:pBd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6"/>
          <w:szCs w:val="26"/>
          <w:rtl w:val="0"/>
        </w:rPr>
        <w:t xml:space="preserve">EJERCICIO DE DESARROLLO WEB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left w:color="auto" w:space="0" w:sz="0" w:val="none"/>
          <w:right w:color="auto" w:space="0" w:sz="0" w:val="none"/>
        </w:pBd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left w:color="auto" w:space="0" w:sz="0" w:val="none"/>
          <w:right w:color="auto" w:space="0" w:sz="0" w:val="none"/>
        </w:pBd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 presenta un proyecto para desarrollar en alguna de las siguientes variantes:  </w:t>
      </w:r>
    </w:p>
    <w:p w:rsidR="00000000" w:rsidDel="00000000" w:rsidP="00000000" w:rsidRDefault="00000000" w:rsidRPr="00000000" w14:paraId="00000006">
      <w:pPr>
        <w:pBdr>
          <w:left w:color="auto" w:space="0" w:sz="0" w:val="none"/>
          <w:right w:color="auto" w:space="0" w:sz="0" w:val="none"/>
        </w:pBdr>
        <w:rPr>
          <w:rFonts w:ascii="Roboto" w:cs="Roboto" w:eastAsia="Roboto" w:hAnsi="Roboto"/>
          <w:b w:val="1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Frontend: </w:t>
      </w: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SPA Angular 1.5</w:t>
      </w:r>
      <w:r w:rsidDel="00000000" w:rsidR="00000000" w:rsidRPr="00000000">
        <w:rPr>
          <w:rFonts w:ascii="Roboto" w:cs="Roboto" w:eastAsia="Roboto" w:hAnsi="Roboto"/>
          <w:rtl w:val="0"/>
        </w:rPr>
        <w:t xml:space="preserve">+ ejecutandose sobre </w:t>
      </w: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Asp.Net MVC 5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o </w:t>
      </w: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Asp.Net Core MVC6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 o una SPA basada íntegramente en </w:t>
      </w: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Angular4+ </w:t>
      </w:r>
    </w:p>
    <w:p w:rsidR="00000000" w:rsidDel="00000000" w:rsidP="00000000" w:rsidRDefault="00000000" w:rsidRPr="00000000" w14:paraId="00000007">
      <w:pPr>
        <w:pBdr>
          <w:left w:color="auto" w:space="0" w:sz="0" w:val="none"/>
          <w:right w:color="auto" w:space="0" w:sz="0" w:val="none"/>
        </w:pBd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Backend: </w:t>
      </w: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Asp .Net Web Api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y </w:t>
      </w: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EntityFramework 6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o la versión correspondiente en </w:t>
      </w: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.Net Core 2.0+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y</w:t>
      </w: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 EntityFramework Core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En ambos casos usa </w:t>
      </w: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Code First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para las entidades.</w:t>
      </w:r>
    </w:p>
    <w:p w:rsidR="00000000" w:rsidDel="00000000" w:rsidP="00000000" w:rsidRDefault="00000000" w:rsidRPr="00000000" w14:paraId="00000008">
      <w:pPr>
        <w:pBdr>
          <w:left w:color="auto" w:space="0" w:sz="0" w:val="none"/>
          <w:right w:color="auto" w:space="0" w:sz="0" w:val="none"/>
        </w:pBdr>
        <w:rPr>
          <w:rFonts w:ascii="Roboto" w:cs="Roboto" w:eastAsia="Roboto" w:hAnsi="Roboto"/>
          <w:b w:val="1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BD: </w:t>
      </w: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SQL SERVER 2014+</w:t>
      </w:r>
    </w:p>
    <w:p w:rsidR="00000000" w:rsidDel="00000000" w:rsidP="00000000" w:rsidRDefault="00000000" w:rsidRPr="00000000" w14:paraId="00000009">
      <w:pPr>
        <w:pBdr>
          <w:left w:color="auto" w:space="0" w:sz="0" w:val="none"/>
          <w:right w:color="auto" w:space="0" w:sz="0" w:val="none"/>
        </w:pBdr>
        <w:rPr>
          <w:rFonts w:ascii="Roboto" w:cs="Roboto" w:eastAsia="Roboto" w:hAnsi="Roboto"/>
          <w:b w:val="1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IDE: </w:t>
      </w: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Visual Studio 2015+ o VSCode.</w:t>
      </w:r>
    </w:p>
    <w:p w:rsidR="00000000" w:rsidDel="00000000" w:rsidP="00000000" w:rsidRDefault="00000000" w:rsidRPr="00000000" w14:paraId="0000000A">
      <w:pPr>
        <w:pBdr>
          <w:left w:color="auto" w:space="0" w:sz="0" w:val="none"/>
          <w:right w:color="auto" w:space="0" w:sz="0" w:val="none"/>
        </w:pBd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left w:color="auto" w:space="0" w:sz="0" w:val="none"/>
          <w:right w:color="auto" w:space="0" w:sz="0" w:val="none"/>
        </w:pBd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 navegación debe implementarse desde el lado del cliente, sin postbacks entre páginas/vistas.</w:t>
      </w:r>
    </w:p>
    <w:p w:rsidR="00000000" w:rsidDel="00000000" w:rsidP="00000000" w:rsidRDefault="00000000" w:rsidRPr="00000000" w14:paraId="0000000C">
      <w:pPr>
        <w:pBdr>
          <w:left w:color="auto" w:space="0" w:sz="0" w:val="none"/>
          <w:right w:color="auto" w:space="0" w:sz="0" w:val="none"/>
        </w:pBd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Evaluaremos muchas cosas, así que presta atención a los pequeños detalles que crea que un cliente le gustaría ver.</w:t>
      </w:r>
    </w:p>
    <w:p w:rsidR="00000000" w:rsidDel="00000000" w:rsidP="00000000" w:rsidRDefault="00000000" w:rsidRPr="00000000" w14:paraId="0000000D">
      <w:pPr>
        <w:pBdr>
          <w:left w:color="auto" w:space="0" w:sz="0" w:val="none"/>
          <w:right w:color="auto" w:space="0" w:sz="0" w:val="none"/>
        </w:pBd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left w:color="auto" w:space="0" w:sz="0" w:val="none"/>
          <w:right w:color="auto" w:space="0" w:sz="0" w:val="none"/>
        </w:pBd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Se pretende de esta manera evaluar la capacidad de resolución y de conocimiento técnico específico sobre la tecnología. </w:t>
      </w:r>
    </w:p>
    <w:p w:rsidR="00000000" w:rsidDel="00000000" w:rsidP="00000000" w:rsidRDefault="00000000" w:rsidRPr="00000000" w14:paraId="0000000F">
      <w:pPr>
        <w:pBdr>
          <w:left w:color="auto" w:space="0" w:sz="0" w:val="none"/>
          <w:right w:color="auto" w:space="0" w:sz="0" w:val="none"/>
        </w:pBd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 entrega de la solución deberá estar constituida por todo lo necesario para la compilación y ejecución de la aplicación.  </w:t>
      </w:r>
    </w:p>
    <w:p w:rsidR="00000000" w:rsidDel="00000000" w:rsidP="00000000" w:rsidRDefault="00000000" w:rsidRPr="00000000" w14:paraId="00000010">
      <w:pPr>
        <w:pBdr>
          <w:left w:color="auto" w:space="0" w:sz="0" w:val="none"/>
          <w:right w:color="auto" w:space="0" w:sz="0" w:val="none"/>
        </w:pBd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left w:color="auto" w:space="0" w:sz="0" w:val="none"/>
          <w:right w:color="auto" w:space="0" w:sz="0" w:val="none"/>
        </w:pBdr>
        <w:spacing w:line="310.9090909090909" w:lineRule="auto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i w:val="1"/>
          <w:sz w:val="26"/>
          <w:szCs w:val="26"/>
          <w:rtl w:val="0"/>
        </w:rPr>
        <w:t xml:space="preserve">Funcionalidad Esperada</w:t>
      </w:r>
    </w:p>
    <w:p w:rsidR="00000000" w:rsidDel="00000000" w:rsidP="00000000" w:rsidRDefault="00000000" w:rsidRPr="00000000" w14:paraId="00000012">
      <w:pPr>
        <w:pBdr>
          <w:left w:color="auto" w:space="0" w:sz="0" w:val="none"/>
          <w:right w:color="auto" w:space="0" w:sz="0" w:val="none"/>
        </w:pBdr>
        <w:spacing w:line="310.9090909090909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left w:color="auto" w:space="0" w:sz="0" w:val="none"/>
          <w:right w:color="auto" w:space="0" w:sz="0" w:val="none"/>
        </w:pBdr>
        <w:spacing w:line="310.9090909090909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Como puedes ver en el modelo de la base de datos, hay una tabla </w:t>
      </w: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Person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que almacena estudiantes. También hay una tabla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33333"/>
          <w:highlight w:val="white"/>
          <w:rtl w:val="0"/>
        </w:rPr>
        <w:t xml:space="preserve">Course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que almacena los cursos disponibles de la universidad. Tendrás que crear una entidad </w:t>
      </w:r>
      <w:r w:rsidDel="00000000" w:rsidR="00000000" w:rsidRPr="00000000">
        <w:rPr>
          <w:rFonts w:ascii="Roboto" w:cs="Roboto" w:eastAsia="Roboto" w:hAnsi="Roboto"/>
          <w:b w:val="1"/>
          <w:color w:val="333333"/>
          <w:highlight w:val="white"/>
          <w:rtl w:val="0"/>
        </w:rPr>
        <w:t xml:space="preserve">Enrollment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que contendrá las calificaciones del alumno para un curso determinado.</w:t>
      </w:r>
    </w:p>
    <w:p w:rsidR="00000000" w:rsidDel="00000000" w:rsidP="00000000" w:rsidRDefault="00000000" w:rsidRPr="00000000" w14:paraId="00000014">
      <w:pPr>
        <w:pBdr>
          <w:left w:color="auto" w:space="0" w:sz="0" w:val="none"/>
          <w:right w:color="auto" w:space="0" w:sz="0" w:val="none"/>
        </w:pBdr>
        <w:spacing w:line="310.9090909090909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Cree el modelo, los controladores, las vistas, la tabla backend y el resto de los componentes necesarios.</w:t>
      </w:r>
    </w:p>
    <w:p w:rsidR="00000000" w:rsidDel="00000000" w:rsidP="00000000" w:rsidRDefault="00000000" w:rsidRPr="00000000" w14:paraId="00000015">
      <w:pPr>
        <w:pBdr>
          <w:left w:color="auto" w:space="0" w:sz="0" w:val="none"/>
          <w:right w:color="auto" w:space="0" w:sz="0" w:val="none"/>
        </w:pBdr>
        <w:spacing w:line="310.9090909090909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left w:color="auto" w:space="0" w:sz="0" w:val="none"/>
          <w:right w:color="auto" w:space="0" w:sz="0" w:val="none"/>
        </w:pBdr>
        <w:spacing w:line="310.9090909090909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Tabla: Enrollment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left w:color="auto" w:space="0" w:sz="0" w:val="none"/>
          <w:right w:color="auto" w:space="0" w:sz="0" w:val="none"/>
        </w:pBdr>
        <w:spacing w:line="310.9090909090909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Propiedades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pBdr>
          <w:left w:color="auto" w:space="0" w:sz="0" w:val="none"/>
          <w:right w:color="auto" w:space="0" w:sz="0" w:val="none"/>
        </w:pBdr>
        <w:spacing w:line="310.9090909090909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EnrollmentID (Int32, database-generated)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pBdr>
          <w:left w:color="auto" w:space="0" w:sz="0" w:val="none"/>
          <w:right w:color="auto" w:space="0" w:sz="0" w:val="none"/>
        </w:pBdr>
        <w:spacing w:line="310.9090909090909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Courses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pBdr>
          <w:left w:color="auto" w:space="0" w:sz="0" w:val="none"/>
          <w:right w:color="auto" w:space="0" w:sz="0" w:val="none"/>
        </w:pBdr>
        <w:spacing w:line="310.9090909090909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Students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pBdr>
          <w:left w:color="auto" w:space="0" w:sz="0" w:val="none"/>
          <w:right w:color="auto" w:space="0" w:sz="0" w:val="none"/>
        </w:pBdr>
        <w:spacing w:line="310.9090909090909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EnrollmentDate (DateTime)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pBdr>
          <w:left w:color="auto" w:space="0" w:sz="0" w:val="none"/>
          <w:right w:color="auto" w:space="0" w:sz="0" w:val="none"/>
        </w:pBdr>
        <w:spacing w:line="310.9090909090909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Grade (Int32)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left w:color="auto" w:space="0" w:sz="0" w:val="none"/>
          <w:right w:color="auto" w:space="0" w:sz="0" w:val="none"/>
        </w:pBdr>
        <w:spacing w:line="310.9090909090909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CRUD debe permitir lo siguiente: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pBdr>
          <w:left w:color="auto" w:space="0" w:sz="0" w:val="none"/>
          <w:right w:color="auto" w:space="0" w:sz="0" w:val="none"/>
        </w:pBdr>
        <w:spacing w:line="310.9090909090909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Listar las inscripciones (</w:t>
      </w: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Enrollment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) en la vista principal, mostrando los cursos, fechas de inscripción y calificaciones para cada alumno en Vënon College.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pBdr>
          <w:left w:color="auto" w:space="0" w:sz="0" w:val="none"/>
          <w:right w:color="auto" w:space="0" w:sz="0" w:val="none"/>
        </w:pBdr>
        <w:spacing w:line="310.9090909090909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Permitir crear o editar re-usando la misma vista.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pBdr>
          <w:left w:color="auto" w:space="0" w:sz="0" w:val="none"/>
          <w:right w:color="auto" w:space="0" w:sz="0" w:val="none"/>
        </w:pBdr>
        <w:spacing w:line="310.9090909090909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Permitir eliminar directamente en la vista principal.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pBdr>
          <w:left w:color="auto" w:space="0" w:sz="0" w:val="none"/>
          <w:right w:color="auto" w:space="0" w:sz="0" w:val="none"/>
        </w:pBdr>
        <w:spacing w:line="310.9090909090909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[OPCIONAL]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Permitir Ver una inscripción (Enrollment). Debe mostrar los detalles de inscripción correspondientes debajo de la lista principal e incluir el curso, el estudiante y el instructor.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left w:color="auto" w:space="0" w:sz="0" w:val="none"/>
          <w:right w:color="auto" w:space="0" w:sz="0" w:val="none"/>
        </w:pBdr>
        <w:spacing w:line="310.9090909090909" w:lineRule="auto"/>
        <w:ind w:left="720" w:hanging="36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Observaciones Importantes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pBdr>
          <w:left w:color="auto" w:space="0" w:sz="0" w:val="none"/>
          <w:right w:color="auto" w:space="0" w:sz="0" w:val="none"/>
        </w:pBdr>
        <w:spacing w:line="310.9090909090909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No necesitas volver a escribir todo, solo lo relacionado con las Inscripciones (</w:t>
      </w: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Enrollment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). Por favor, mira la imagen de abajo, es la funcionalidad esperada. En caso que no puedas visualizarla correctamente podrás descargarla desde la carpeta en el enlace que se te envío.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pBdr>
          <w:left w:color="auto" w:space="0" w:sz="0" w:val="none"/>
          <w:right w:color="auto" w:space="0" w:sz="0" w:val="none"/>
        </w:pBdr>
        <w:spacing w:line="310.9090909090909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Un backup de la BD (</w:t>
      </w: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VenonCollegeDB.bak</w:t>
      </w:r>
      <w:r w:rsidDel="00000000" w:rsidR="00000000" w:rsidRPr="00000000">
        <w:rPr>
          <w:rFonts w:ascii="Roboto" w:cs="Roboto" w:eastAsia="Roboto" w:hAnsi="Roboto"/>
          <w:rtl w:val="0"/>
        </w:rPr>
        <w:t xml:space="preserve">) está incluido para restaurar en tu base de datos.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395913" cy="3048000"/>
            <wp:effectExtent b="0" l="0" r="0" t="0"/>
            <wp:wrapSquare wrapText="bothSides" distB="114300" distT="114300" distL="114300" distR="11430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