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1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2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3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4" w:name="OLE_LINK4"/>
      <w:r w:rsidRPr="00A010C6">
        <w:rPr>
          <w:rFonts w:cstheme="minorHAnsi"/>
          <w:noProof/>
        </w:rPr>
        <w:t>{"Burgas", "Sofia", "Plovdiv", "Varna", "Ruse"}</w:t>
      </w:r>
      <w:bookmarkEnd w:id="4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5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5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77777777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77777777" w:rsidR="00A010C6" w:rsidRPr="00A010C6" w:rsidRDefault="00A010C6" w:rsidP="00A010C6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010C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"{teamName}: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4DE5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4DE5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D481-F1D6-4371-BC01-A2DEA4F0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1469</Words>
  <Characters>7395</Characters>
  <Application>Microsoft Office Word</Application>
  <DocSecurity>0</DocSecurity>
  <Lines>255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2020-09-11T08:57:00Z</dcterms:modified>
  <cp:category>programming; education; software engineering; software development</cp:category>
</cp:coreProperties>
</file>