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2f3d90b9cba7b3d479b8858612ef5c25ade9205"/>
    <w:p>
      <w:pPr>
        <w:pStyle w:val="Heading1"/>
      </w:pPr>
      <w:r>
        <w:t xml:space="preserve">Relatório completo — Sistema de gestão de ocorrências para escolas públicas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25 de setembro de 2026</w:t>
      </w:r>
      <w:r>
        <w:br/>
      </w:r>
      <w:r>
        <w:rPr>
          <w:bCs/>
          <w:b/>
        </w:rPr>
        <w:t xml:space="preserve">Escopo:</w:t>
      </w:r>
      <w:r>
        <w:t xml:space="preserve"> </w:t>
      </w:r>
      <w:r>
        <w:t xml:space="preserve">sistema para registrar, acompanhar e prevenir ocorrências no ambiente escolar público brasileiro.</w:t>
      </w:r>
    </w:p>
    <w:p>
      <w:pPr>
        <w:pStyle w:val="BlockText"/>
      </w:pPr>
      <w:r>
        <w:rPr>
          <w:bCs/>
          <w:b/>
        </w:rPr>
        <w:t xml:space="preserve">Nota de leitura:</w:t>
      </w:r>
      <w:r>
        <w:t xml:space="preserve"> </w:t>
      </w:r>
      <w:r>
        <w:t xml:space="preserve">todos os nomes, números, prazos e casos exemplificativos deste documento são</w:t>
      </w:r>
      <w:r>
        <w:t xml:space="preserve"> </w:t>
      </w:r>
      <w:r>
        <w:rPr>
          <w:bCs/>
          <w:b/>
        </w:rPr>
        <w:t xml:space="preserve">fictícios</w:t>
      </w:r>
      <w:r>
        <w:t xml:space="preserve">. Não representam alunos, escolas ou estatísticas reais. Este material é técnico-informativo e não substitui parecer jurídico, normas da rede de ensino ou protocolos de proteção locais.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ef49a0e85687eb8666c1262ef5fdb5f728c1ae3">
        <w:r>
          <w:rPr>
            <w:rStyle w:val="Hyperlink"/>
          </w:rPr>
          <w:t xml:space="preserve">Objetivo e visão do produto</w:t>
        </w:r>
      </w:hyperlink>
    </w:p>
    <w:p>
      <w:pPr>
        <w:numPr>
          <w:ilvl w:val="0"/>
          <w:numId w:val="1001"/>
        </w:numPr>
        <w:pStyle w:val="Compact"/>
      </w:pPr>
      <w:hyperlink w:anchor="X989c904c067cfa652cb882d46affbc628fa41b5">
        <w:r>
          <w:rPr>
            <w:rStyle w:val="Hyperlink"/>
          </w:rPr>
          <w:t xml:space="preserve">Problema, usuários e princípios</w:t>
        </w:r>
      </w:hyperlink>
    </w:p>
    <w:p>
      <w:pPr>
        <w:numPr>
          <w:ilvl w:val="0"/>
          <w:numId w:val="1001"/>
        </w:numPr>
        <w:pStyle w:val="Compact"/>
      </w:pPr>
      <w:hyperlink w:anchor="Xa919dab139a039506ee432e95656491f3548fa9">
        <w:r>
          <w:rPr>
            <w:rStyle w:val="Hyperlink"/>
          </w:rPr>
          <w:t xml:space="preserve">Escopo de ocorrências e fluxo</w:t>
        </w:r>
      </w:hyperlink>
    </w:p>
    <w:p>
      <w:pPr>
        <w:numPr>
          <w:ilvl w:val="0"/>
          <w:numId w:val="1001"/>
        </w:numPr>
        <w:pStyle w:val="Compact"/>
      </w:pPr>
      <w:hyperlink w:anchor="X7f5a0fefe61ddd4255f3618b161d8ea64ed5b60">
        <w:r>
          <w:rPr>
            <w:rStyle w:val="Hyperlink"/>
          </w:rPr>
          <w:t xml:space="preserve">Funcionalidades detalhadas</w:t>
        </w:r>
      </w:hyperlink>
    </w:p>
    <w:p>
      <w:pPr>
        <w:numPr>
          <w:ilvl w:val="0"/>
          <w:numId w:val="1001"/>
        </w:numPr>
        <w:pStyle w:val="Compact"/>
      </w:pPr>
      <w:hyperlink w:anchor="X99542d238cca0581e972aa0141a2f6341969fd1">
        <w:r>
          <w:rPr>
            <w:rStyle w:val="Hyperlink"/>
          </w:rPr>
          <w:t xml:space="preserve">Panorama de soluções e concorrentes</w:t>
        </w:r>
      </w:hyperlink>
    </w:p>
    <w:p>
      <w:pPr>
        <w:numPr>
          <w:ilvl w:val="0"/>
          <w:numId w:val="1001"/>
        </w:numPr>
        <w:pStyle w:val="Compact"/>
      </w:pPr>
      <w:hyperlink w:anchor="X8426917b1e6fca34f8c52209f8676987be29f74">
        <w:r>
          <w:rPr>
            <w:rStyle w:val="Hyperlink"/>
          </w:rPr>
          <w:t xml:space="preserve">Legislação e conformidade no Brasil</w:t>
        </w:r>
      </w:hyperlink>
    </w:p>
    <w:p>
      <w:pPr>
        <w:numPr>
          <w:ilvl w:val="0"/>
          <w:numId w:val="1001"/>
        </w:numPr>
        <w:pStyle w:val="Compact"/>
      </w:pPr>
      <w:hyperlink w:anchor="X8bb8a4cac6fd4203ed287513fb2afb1cc1ea544">
        <w:r>
          <w:rPr>
            <w:rStyle w:val="Hyperlink"/>
          </w:rPr>
          <w:t xml:space="preserve">UXUI e acessibilidade</w:t>
        </w:r>
      </w:hyperlink>
    </w:p>
    <w:p>
      <w:pPr>
        <w:numPr>
          <w:ilvl w:val="0"/>
          <w:numId w:val="1001"/>
        </w:numPr>
        <w:pStyle w:val="Compact"/>
      </w:pPr>
      <w:hyperlink w:anchor="Xcdf36b4eb65ffcc9d5c77a25809b905eb025fe7">
        <w:r>
          <w:rPr>
            <w:rStyle w:val="Hyperlink"/>
          </w:rPr>
          <w:t xml:space="preserve">Arquitetura e integrações</w:t>
        </w:r>
      </w:hyperlink>
    </w:p>
    <w:p>
      <w:pPr>
        <w:numPr>
          <w:ilvl w:val="0"/>
          <w:numId w:val="1001"/>
        </w:numPr>
        <w:pStyle w:val="Compact"/>
      </w:pPr>
      <w:hyperlink w:anchor="X26f041ea41853067fa3ad5d8d3d296055a55829">
        <w:r>
          <w:rPr>
            <w:rStyle w:val="Hyperlink"/>
          </w:rPr>
          <w:t xml:space="preserve">Modelo de dados</w:t>
        </w:r>
      </w:hyperlink>
    </w:p>
    <w:p>
      <w:pPr>
        <w:numPr>
          <w:ilvl w:val="0"/>
          <w:numId w:val="1001"/>
        </w:numPr>
        <w:pStyle w:val="Compact"/>
      </w:pPr>
      <w:hyperlink w:anchor="X8290263b95a1b58459da2cad51950c379769b38">
        <w:r>
          <w:rPr>
            <w:rStyle w:val="Hyperlink"/>
          </w:rPr>
          <w:t xml:space="preserve">Segurança, privacidade e retenção</w:t>
        </w:r>
      </w:hyperlink>
    </w:p>
    <w:p>
      <w:pPr>
        <w:numPr>
          <w:ilvl w:val="0"/>
          <w:numId w:val="1001"/>
        </w:numPr>
        <w:pStyle w:val="Compact"/>
      </w:pPr>
      <w:hyperlink w:anchor="X7bbca81f1ecf2209aa029cbcec25412240f03e2">
        <w:r>
          <w:rPr>
            <w:rStyle w:val="Hyperlink"/>
          </w:rPr>
          <w:t xml:space="preserve">Documentação e operação</w:t>
        </w:r>
      </w:hyperlink>
    </w:p>
    <w:p>
      <w:pPr>
        <w:numPr>
          <w:ilvl w:val="0"/>
          <w:numId w:val="1001"/>
        </w:numPr>
        <w:pStyle w:val="Compact"/>
      </w:pPr>
      <w:hyperlink w:anchor="X72ed28a550ac889b59b41f314bec65c3a93abf0">
        <w:r>
          <w:rPr>
            <w:rStyle w:val="Hyperlink"/>
          </w:rPr>
          <w:t xml:space="preserve">MVP e critérios de aceite</w:t>
        </w:r>
      </w:hyperlink>
    </w:p>
    <w:p>
      <w:pPr>
        <w:numPr>
          <w:ilvl w:val="0"/>
          <w:numId w:val="1001"/>
        </w:numPr>
        <w:pStyle w:val="Compact"/>
      </w:pPr>
      <w:hyperlink w:anchor="X2b28fe7501524d2a33ab064cc803dd624f31fc2">
        <w:r>
          <w:rPr>
            <w:rStyle w:val="Hyperlink"/>
          </w:rPr>
          <w:t xml:space="preserve">Roadmap</w:t>
        </w:r>
      </w:hyperlink>
    </w:p>
    <w:p>
      <w:pPr>
        <w:numPr>
          <w:ilvl w:val="0"/>
          <w:numId w:val="1001"/>
        </w:numPr>
        <w:pStyle w:val="Compact"/>
      </w:pPr>
      <w:hyperlink w:anchor="X3afc16005117cada4802473ccf2a3dd789dca1b">
        <w:r>
          <w:rPr>
            <w:rStyle w:val="Hyperlink"/>
          </w:rPr>
          <w:t xml:space="preserve">Pesquisa de campo e implantação</w:t>
        </w:r>
      </w:hyperlink>
    </w:p>
    <w:p>
      <w:pPr>
        <w:numPr>
          <w:ilvl w:val="0"/>
          <w:numId w:val="1001"/>
        </w:numPr>
        <w:pStyle w:val="Compact"/>
      </w:pPr>
      <w:hyperlink w:anchor="X50aea3aaf62693ba50fd524df1b92fa1984210b">
        <w:r>
          <w:rPr>
            <w:rStyle w:val="Hyperlink"/>
          </w:rPr>
          <w:t xml:space="preserve">Riscos e mitigação</w:t>
        </w:r>
      </w:hyperlink>
    </w:p>
    <w:p>
      <w:pPr>
        <w:numPr>
          <w:ilvl w:val="0"/>
          <w:numId w:val="1001"/>
        </w:numPr>
        <w:pStyle w:val="Compact"/>
      </w:pPr>
      <w:hyperlink w:anchor="Xd6fc3b1b5b4b99d0a825b1f7cc3f6258c223eb1">
        <w:r>
          <w:rPr>
            <w:rStyle w:val="Hyperlink"/>
          </w:rPr>
          <w:t xml:space="preserve">Métricas e checklist de lançamento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bjetivo-e-visão-do-produto"/>
    <w:p>
      <w:pPr>
        <w:pStyle w:val="Heading2"/>
      </w:pPr>
      <w:r>
        <w:t xml:space="preserve">1. Objetivo e visão do produto</w:t>
      </w:r>
    </w:p>
    <w:p>
      <w:pPr>
        <w:pStyle w:val="FirstParagraph"/>
      </w:pPr>
      <w:r>
        <w:t xml:space="preserve">O sistema deve transformar registros dispersos (caderno, mensagens e planilhas) em um histórico institucional</w:t>
      </w:r>
      <w:r>
        <w:t xml:space="preserve"> </w:t>
      </w:r>
      <w:r>
        <w:rPr>
          <w:bCs/>
          <w:b/>
        </w:rPr>
        <w:t xml:space="preserve">restrito, rastreável e orientado ao cuidado</w:t>
      </w:r>
      <w:r>
        <w:t xml:space="preserve">. Ele não é um</w:t>
      </w:r>
      <w:r>
        <w:t xml:space="preserve"> </w:t>
      </w:r>
      <w:r>
        <w:t xml:space="preserve">“</w:t>
      </w:r>
      <w:r>
        <w:t xml:space="preserve">placar de mau comportamento</w:t>
      </w:r>
      <w:r>
        <w:t xml:space="preserve">”</w:t>
      </w:r>
      <w:r>
        <w:t xml:space="preserve"> </w:t>
      </w:r>
      <w:r>
        <w:t xml:space="preserve">nem mecanismo automático de punição. Seu propósito é apoiar acolhimento, mediação, comunicação adequada com responsáveis, encaminhamentos e análise preventiva de padrões.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cada ocorrência tem responsável pelo próximo passo, prazo, histórico imutável de ações e encerramento justificado; a gestão enxerga tendências agregadas sem expor detalhes a quem não precisa deles.</w:t>
      </w:r>
    </w:p>
    <w:p>
      <w:pPr>
        <w:pStyle w:val="BodyText"/>
      </w:pPr>
      <w:r>
        <w:rPr>
          <w:bCs/>
          <w:b/>
        </w:rPr>
        <w:t xml:space="preserve">Princípios:</w:t>
      </w:r>
      <w:r>
        <w:t xml:space="preserve"> </w:t>
      </w:r>
      <w:r>
        <w:t xml:space="preserve">proteção integral; mínima coleta; linguagem não estigmatizante; contraditório e contexto pedagógico; acesso por necessidade; transparência; acessibilidade; decisão humana para medidas sensíveis.</w:t>
      </w:r>
    </w:p>
    <w:bookmarkEnd w:id="21"/>
    <w:bookmarkStart w:id="22" w:name="problema-usuários-e-princípios"/>
    <w:p>
      <w:pPr>
        <w:pStyle w:val="Heading2"/>
      </w:pPr>
      <w:r>
        <w:t xml:space="preserve">2. Problema, usuários e princípios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Necessidade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permitidas típicas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fato e pedir apoio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rascunho/registro, anexar evidência autorizada, acompanhar casos próprios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Coordenação/orientação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conduzir caso e apoio pedagógico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qualificar, atribuir, registrar atendimento e plano de acompanhamento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supervisionar e responder institucionalmente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casos autorizados, aprovar medidas, relatórios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Apoio/portaria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evento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inicial limitada, sem acesso ao histórico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compreender comunicação que lhe diga respeito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receber aviso, confirmar ciência, dialogar por canal 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Rede/secretaria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e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dados agregados ou casos formalmente autorizados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usuários, configurações e auditoria técnica; não leitura livre do conteúdo</w:t>
            </w:r>
          </w:p>
        </w:tc>
      </w:tr>
    </w:tbl>
    <w:p>
      <w:pPr>
        <w:pStyle w:val="BodyText"/>
      </w:pPr>
      <w:r>
        <w:t xml:space="preserve">Defina uma matriz de autorização por rede e por unidade. O cargo, por si só, não basta: turma, vínculo com a escola, tipo de caso e atribuição vigente também importam.</w:t>
      </w:r>
    </w:p>
    <w:bookmarkEnd w:id="22"/>
    <w:bookmarkStart w:id="26" w:name="escopo-de-ocorrências-e-fluxo"/>
    <w:p>
      <w:pPr>
        <w:pStyle w:val="Heading2"/>
      </w:pPr>
      <w:r>
        <w:t xml:space="preserve">3. Escopo de ocorrências e fluxo</w:t>
      </w:r>
    </w:p>
    <w:bookmarkStart w:id="23" w:name="taxonomia-inicial"/>
    <w:p>
      <w:pPr>
        <w:pStyle w:val="Heading3"/>
      </w:pPr>
      <w:r>
        <w:t xml:space="preserve">Taxonomia inicial</w:t>
      </w:r>
    </w:p>
    <w:p>
      <w:pPr>
        <w:pStyle w:val="FirstParagraph"/>
      </w:pPr>
      <w:r>
        <w:t xml:space="preserve">Use categorias configuráveis e descrição livre curta: convivência/conflito; bullying/cyberbullying; dano ao patrimônio; discriminação; saúde/primeiros cuidados; frequência/atraso; violação de regra; proteção/vulnerabilidade; e</w:t>
      </w:r>
      <w:r>
        <w:t xml:space="preserve"> </w:t>
      </w:r>
      <w:r>
        <w:t xml:space="preserve">“</w:t>
      </w:r>
      <w:r>
        <w:t xml:space="preserve">outro</w:t>
      </w:r>
      <w:r>
        <w:t xml:space="preserve">”</w:t>
      </w:r>
      <w:r>
        <w:t xml:space="preserve">. Separe</w:t>
      </w:r>
      <w:r>
        <w:t xml:space="preserve"> </w:t>
      </w:r>
      <w:r>
        <w:rPr>
          <w:bCs/>
          <w:b/>
        </w:rPr>
        <w:t xml:space="preserve">gravidade operacional</w:t>
      </w:r>
      <w:r>
        <w:t xml:space="preserve"> </w:t>
      </w:r>
      <w:r>
        <w:t xml:space="preserve">de juízo sobre a pessoa. Nunca mostre rótulos como</w:t>
      </w:r>
      <w:r>
        <w:t xml:space="preserve"> </w:t>
      </w:r>
      <w:r>
        <w:t xml:space="preserve">“</w:t>
      </w:r>
      <w:r>
        <w:t xml:space="preserve">aluno problema</w:t>
      </w:r>
      <w:r>
        <w:t xml:space="preserve">”</w:t>
      </w:r>
      <w:r>
        <w:t xml:space="preserve">.</w:t>
      </w:r>
    </w:p>
    <w:bookmarkEnd w:id="23"/>
    <w:bookmarkStart w:id="24" w:name="estados-estáticos-do-caso"/>
    <w:p>
      <w:pPr>
        <w:pStyle w:val="Heading3"/>
      </w:pPr>
      <w:r>
        <w:t xml:space="preserve">Estados estáticos do caso</w:t>
      </w:r>
    </w:p>
    <w:p>
      <w:pPr>
        <w:pStyle w:val="FirstParagraph"/>
      </w:pPr>
      <w:r>
        <w:rPr>
          <w:rStyle w:val="VerbatimChar"/>
        </w:rPr>
        <w:t xml:space="preserve">Rascunho → Recebido → Em triagem → Em acompanhamento → Encerrado</w:t>
      </w:r>
      <w:r>
        <w:br/>
      </w:r>
      <w:r>
        <w:t xml:space="preserve">Rotas especiais:</w:t>
      </w:r>
      <w:r>
        <w:t xml:space="preserve"> </w:t>
      </w:r>
      <w:r>
        <w:rPr>
          <w:rStyle w:val="VerbatimChar"/>
        </w:rPr>
        <w:t xml:space="preserve">Duplicado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Cancelado (com motivo)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Encaminhado à rede</w:t>
      </w:r>
      <w:r>
        <w:t xml:space="preserve">. Um encerramento não apaga o histórico; correções geram adendo identificado.</w:t>
      </w:r>
    </w:p>
    <w:bookmarkEnd w:id="24"/>
    <w:bookmarkStart w:id="25" w:name="fluxo-recomendado"/>
    <w:p>
      <w:pPr>
        <w:pStyle w:val="Heading3"/>
      </w:pPr>
      <w:r>
        <w:t xml:space="preserve">Fluxo recomendado</w:t>
      </w:r>
    </w:p>
    <w:p>
      <w:pPr>
        <w:numPr>
          <w:ilvl w:val="0"/>
          <w:numId w:val="1002"/>
        </w:numPr>
        <w:pStyle w:val="Compact"/>
      </w:pPr>
      <w:r>
        <w:t xml:space="preserve">Quem observou registra data, local, envolvidos, relato factual e risco imediato.</w:t>
      </w:r>
    </w:p>
    <w:p>
      <w:pPr>
        <w:numPr>
          <w:ilvl w:val="0"/>
          <w:numId w:val="1002"/>
        </w:numPr>
        <w:pStyle w:val="Compact"/>
      </w:pPr>
      <w:r>
        <w:t xml:space="preserve">A triagem confere completude, classifica acesso e prioriza.</w:t>
      </w:r>
    </w:p>
    <w:p>
      <w:pPr>
        <w:numPr>
          <w:ilvl w:val="0"/>
          <w:numId w:val="1002"/>
        </w:numPr>
        <w:pStyle w:val="Compact"/>
      </w:pPr>
      <w:r>
        <w:t xml:space="preserve">Em urgência, o sistema mostra o protocolo local e aciona responsável humano definido; não substitui serviços de emergência ou conselho tutelar.</w:t>
      </w:r>
    </w:p>
    <w:p>
      <w:pPr>
        <w:numPr>
          <w:ilvl w:val="0"/>
          <w:numId w:val="1002"/>
        </w:numPr>
        <w:pStyle w:val="Compact"/>
      </w:pPr>
      <w:r>
        <w:t xml:space="preserve">A coordenação registra escuta, providências, comunicação e encaminhamentos.</w:t>
      </w:r>
    </w:p>
    <w:p>
      <w:pPr>
        <w:numPr>
          <w:ilvl w:val="0"/>
          <w:numId w:val="1002"/>
        </w:numPr>
        <w:pStyle w:val="Compact"/>
      </w:pPr>
      <w:r>
        <w:t xml:space="preserve">O caso é revisado e encerrado com resultado, responsável e data de reavaliação quando houver.</w:t>
      </w:r>
    </w:p>
    <w:p>
      <w:pPr>
        <w:pStyle w:val="FirstParagraph"/>
      </w:pPr>
      <w:r>
        <w:rPr>
          <w:bCs/>
          <w:b/>
        </w:rPr>
        <w:t xml:space="preserve">Exemplo fictício:</w:t>
      </w:r>
      <w:r>
        <w:t xml:space="preserve"> </w:t>
      </w:r>
      <w:r>
        <w:t xml:space="preserve">“</w:t>
      </w:r>
      <w:r>
        <w:t xml:space="preserve">Durante o intervalo, houve discussão entre dois estudantes no pátio; ambos foram separados e acolhidos. Sem lesão relatada.</w:t>
      </w:r>
      <w:r>
        <w:t xml:space="preserve">”</w:t>
      </w:r>
      <w:r>
        <w:t xml:space="preserve"> </w:t>
      </w:r>
      <w:r>
        <w:t xml:space="preserve">Isso é melhor que</w:t>
      </w:r>
      <w:r>
        <w:t xml:space="preserve"> </w:t>
      </w:r>
      <w:r>
        <w:t xml:space="preserve">“</w:t>
      </w:r>
      <w:r>
        <w:t xml:space="preserve">estudante agressivo</w:t>
      </w:r>
      <w:r>
        <w:t xml:space="preserve">”</w:t>
      </w:r>
      <w:r>
        <w:t xml:space="preserve">.</w:t>
      </w:r>
    </w:p>
    <w:bookmarkEnd w:id="25"/>
    <w:bookmarkEnd w:id="26"/>
    <w:bookmarkStart w:id="27" w:name="funcionalidades-detalhadas"/>
    <w:p>
      <w:pPr>
        <w:pStyle w:val="Heading2"/>
      </w:pPr>
      <w:r>
        <w:t xml:space="preserve">4. Funcionalidades detalhadas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essenciais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progressivo, salvamento de rascunho, campos condicionais, validação, indicação de urgência, anexos com 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por prioridade e prazo, atribuição, checklist, prevenção de duplicidade e escalonamento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do tempo com evento, autoria, horário, adendos, responsáveis, plano e situação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aprovados, revisão humana, registro de envio/leitura, canal acessível e sem expor terceiros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de apoio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ações, dono, prazo, retorno, resultado e encaminhamento; não automatizar sanções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 e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por período/unidade/categoria, permissões, exportação agregada e anonimização quando necessária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calendário, turmas, usuários, perfis, categorias, prazos, modelos e retenção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consulta, criação, alteração, exportação, compartilhamento e falhas de autorização</w:t>
            </w:r>
          </w:p>
        </w:tc>
      </w:tr>
    </w:tbl>
    <w:p>
      <w:pPr>
        <w:pStyle w:val="BodyText"/>
      </w:pPr>
      <w:r>
        <w:t xml:space="preserve">Funcionalidades posteriores: integração com matrícula, notificações push/SMS/e-mail, canal de relato protegido, painel de clima escolar, API, importação e relatórios interunidades.</w:t>
      </w:r>
    </w:p>
    <w:bookmarkEnd w:id="27"/>
    <w:bookmarkStart w:id="32" w:name="panorama-de-soluções-e-concorrentes"/>
    <w:p>
      <w:pPr>
        <w:pStyle w:val="Heading2"/>
      </w:pPr>
      <w:r>
        <w:t xml:space="preserve">5. Panorama de soluções e concorrentes</w:t>
      </w:r>
    </w:p>
    <w:p>
      <w:pPr>
        <w:pStyle w:val="FirstParagraph"/>
      </w:pPr>
      <w:r>
        <w:t xml:space="preserve">O mercado brasileiro costuma tratar ocorrências como parte de uma plataforma de gestão escolar, agenda digital ou diário de classe. Ao avaliar fornecedores, teste fluxos reais e exija evidência de controles de privacidade; uma página comercial não comprova adequação jurídica.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observar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SED/Secretaria Escolar Digital (SP)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pública de serviços digitais escolares e integração de rede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Portal SED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i-Educar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público de gestão educacional, útil como referência de cadastros e interoperabilidade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Portal i-Educar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colaboração e comunicação; não é, isoladamente, um prontuário de ocorrências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Privacy &amp; Security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365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colaboração, identidade e administração; avaliar configuração e contrato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Segurança na Educação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 privadas de 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diário, agenda, ocorrências, comunicação 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demonstração, DPA e matriz de permissões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Critérios de comparação:</w:t>
      </w:r>
      <w:r>
        <w:t xml:space="preserve"> </w:t>
      </w:r>
      <w:r>
        <w:t xml:space="preserve">segregação por escola; RBAC/ABAC; trilha de auditoria exportável; hospedagem/contrato público; autenticação; acessibilidade; APIs; portabilidade; SLA; custo total; suporte em crise; prazo de retenção; canal de incidente. Não copie um concorrente sem validar o protocolo pedagógico da rede.</w:t>
      </w:r>
    </w:p>
    <w:bookmarkEnd w:id="32"/>
    <w:bookmarkStart w:id="41" w:name="legislação-e-conformidade-no-brasil"/>
    <w:p>
      <w:pPr>
        <w:pStyle w:val="Heading2"/>
      </w:pPr>
      <w:r>
        <w:t xml:space="preserve">6. Legislação e conformidade no Brasil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Norma/referência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prático no sistema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Constituição Federal, art. 227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prioridade absoluta à criança e ao adolescente; desenhar respostas protetivas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ECA — Lei 8.069/1990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proteção integral, dignidade, respeito, dever de comunicação em hipóteses legais e atuação articulada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LDB — Lei 9.394/1996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deveres da escola, proposta pedagógica e comunicação de frequência/rendimento conforme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LGPD — Lei 13.709/2018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base legal, finalidade, necessidade, segurança, direitos do titular, operadores/controlador e dados de crianças/adolescentes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Lei 14.811/2024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medidas de proteção contra violência em estabelecimentos educacionais e prevenção de bullying/cyberbullying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Lei 13.185/2015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programa de combate à intimidação sistemática; favorece prevenção e mediação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ANPD — guia de crianças e adolescentes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melhor interesse, avaliação contextual de riscos e transparência adequada à faixa etária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eMAG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referência de acessibilidade para serviços digitais do governo</w:t>
            </w:r>
          </w:p>
        </w:tc>
      </w:tr>
    </w:tbl>
    <w:p>
      <w:pPr>
        <w:pStyle w:val="BodyText"/>
      </w:pPr>
      <w:r>
        <w:rPr>
          <w:bCs/>
          <w:b/>
        </w:rPr>
        <w:t xml:space="preserve">Aplicação da LGPD:</w:t>
      </w:r>
      <w:r>
        <w:t xml:space="preserve"> </w:t>
      </w:r>
      <w:r>
        <w:t xml:space="preserve">a rede pública deve documentar a hipótese legal e a finalidade para cada operação; consentimento não deve ser usado como atalho quando outra base legal apropriada se aplica. Dados sobre saúde, deficiência, vida sexual, violência, origem racial ou religiosa podem ser sensíveis e exigem controles reforçados. O tratamento deve atender ao melhor interesse de crianças e adolescentes (LGPD, arts. 14 e 11). Consulte encarregado/DPO, procuradoria e normativos da secretaria antes de operar.</w:t>
      </w:r>
    </w:p>
    <w:p>
      <w:pPr>
        <w:pStyle w:val="BodyText"/>
      </w:pPr>
      <w:r>
        <w:t xml:space="preserve">Evite: divulgação em grupos, exportação irrestrita, coleta de laudo sem finalidade, fotos/vídeos como padrão, perfilamento punitivo, ranking de estudantes e decisão exclusivamente automatizada sobre medida disciplinar.</w:t>
      </w:r>
    </w:p>
    <w:bookmarkEnd w:id="41"/>
    <w:bookmarkStart w:id="42" w:name="uxui-e-acessibilidade"/>
    <w:p>
      <w:pPr>
        <w:pStyle w:val="Heading2"/>
      </w:pPr>
      <w:r>
        <w:t xml:space="preserve">7. UX/UI e acessibilidade</w:t>
      </w:r>
    </w:p>
    <w:p>
      <w:pPr>
        <w:pStyle w:val="FirstParagraph"/>
      </w:pPr>
      <w:r>
        <w:t xml:space="preserve">Priorize telas simples, celular primeiro e conexão instável: início com</w:t>
      </w:r>
      <w:r>
        <w:t xml:space="preserve"> </w:t>
      </w:r>
      <w:r>
        <w:t xml:space="preserve">“</w:t>
      </w:r>
      <w:r>
        <w:t xml:space="preserve">Registrar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Minha fila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Buscar</w:t>
      </w:r>
      <w:r>
        <w:t xml:space="preserve">”</w:t>
      </w:r>
      <w:r>
        <w:t xml:space="preserve">; formulário em passos; linguagem clara; confirmação explícita antes de compartilhar; rótulo de confidencialidade visível; avisos de prazo sem alarmismo.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 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</w:t>
            </w:r>
            <w:r>
              <w:t xml:space="preserve"> </w:t>
            </w:r>
            <w:r>
              <w:t xml:space="preserve">“</w:t>
            </w:r>
            <w:r>
              <w:t xml:space="preserve">o que foi observado</w:t>
            </w:r>
            <w:r>
              <w:t xml:space="preserve">”</w:t>
            </w:r>
            <w:r>
              <w:t xml:space="preserve"> </w:t>
            </w:r>
            <w:r>
              <w:t xml:space="preserve">de interpretação e medida tomada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Divulgação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formulário, mostrar somente pessoas/turmas necessárias; ocultar detalhes de terceiros em comunicações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Prevenção de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data, envolvidos e destinatários; alertar sobre duplicata; permitir rascunho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por teclado, foco visível, contraste, rótulos, textos alternativos, leitor de tela e não depender apenas de cor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por que cada dado é pedido, quem verá e como corrigir erro</w:t>
            </w:r>
          </w:p>
        </w:tc>
      </w:tr>
    </w:tbl>
    <w:p>
      <w:pPr>
        <w:pStyle w:val="BodyText"/>
      </w:pPr>
      <w:r>
        <w:t xml:space="preserve">Protótipos necessários: login, painel, novo registro, detalhe/linha do tempo, fila de triagem, plano de apoio, comunicação, relatório agregado, matriz de permissões e configurações. Teste-os com docentes, coordenação e ao menos uma pessoa com deficiência antes do desenvolvimento final.</w:t>
      </w:r>
    </w:p>
    <w:bookmarkEnd w:id="42"/>
    <w:bookmarkStart w:id="43" w:name="arquitetura-e-integrações"/>
    <w:p>
      <w:pPr>
        <w:pStyle w:val="Heading2"/>
      </w:pPr>
      <w:r>
        <w:t xml:space="preserve">8. Arquitetura e integrações</w:t>
      </w:r>
    </w:p>
    <w:p>
      <w:pPr>
        <w:pStyle w:val="FirstParagraph"/>
      </w:pPr>
      <w:r>
        <w:t xml:space="preserve">Arquitetura inicial recomendada: aplicação web responsiva; API autenticada; banco relacional; armazenamento privado de arquivos; fila de notificações; serviço de identidade; observabilidade; backup testado. Comece com monólito modular e API versionada; microsserviços só se houver motivo operacional comprovado.</w:t>
      </w:r>
    </w:p>
    <w:p>
      <w:pPr>
        <w:pStyle w:val="SourceCode"/>
      </w:pPr>
      <w:r>
        <w:rPr>
          <w:rStyle w:val="VerbatimChar"/>
        </w:rPr>
        <w:t xml:space="preserve">Usuário → Web responsiva → API → Banco de dados</w:t>
      </w:r>
      <w:r>
        <w:br/>
      </w:r>
      <w:r>
        <w:rPr>
          <w:rStyle w:val="VerbatimChar"/>
        </w:rPr>
        <w:t xml:space="preserve">                         ├→ Arquivos privados/antimalware</w:t>
      </w:r>
      <w:r>
        <w:br/>
      </w:r>
      <w:r>
        <w:rPr>
          <w:rStyle w:val="VerbatimChar"/>
        </w:rPr>
        <w:t xml:space="preserve">                         ├→ Fila de notificações</w:t>
      </w:r>
      <w:r>
        <w:br/>
      </w:r>
      <w:r>
        <w:rPr>
          <w:rStyle w:val="VerbatimChar"/>
        </w:rPr>
        <w:t xml:space="preserve">                         ├→ Auditoria imutável</w:t>
      </w:r>
      <w:r>
        <w:br/>
      </w:r>
      <w:r>
        <w:rPr>
          <w:rStyle w:val="VerbatimChar"/>
        </w:rPr>
        <w:t xml:space="preserve">                         └→ Integração de matrícula/identidade</w:t>
      </w:r>
    </w:p>
    <w:p>
      <w:pPr>
        <w:pStyle w:val="FirstParagraph"/>
      </w:pPr>
      <w:r>
        <w:t xml:space="preserve">Integre por identificador estável, não por nome. Sincronize unidades, turmas, vínculos e responsáveis; mantenha origem, data e erro de cada sincronização. APIs devem ter OAuth/OIDC, escopos mínimos, limite de requisições, versionamento, logs sem conteúdo sensível e contrato documentado (OpenAPI).</w:t>
      </w:r>
    </w:p>
    <w:bookmarkEnd w:id="43"/>
    <w:bookmarkStart w:id="44" w:name="modelo-de-dados"/>
    <w:p>
      <w:pPr>
        <w:pStyle w:val="Heading2"/>
      </w:pPr>
      <w:r>
        <w:t xml:space="preserve">9. Modelo de dados</w:t>
      </w:r>
    </w:p>
    <w:p>
      <w:pPr>
        <w:pStyle w:val="FirstParagraph"/>
      </w:pPr>
      <w:r>
        <w:t xml:space="preserve">Entidades centrais:</w:t>
      </w:r>
      <w:r>
        <w:t xml:space="preserve"> </w:t>
      </w:r>
      <w:r>
        <w:rPr>
          <w:rStyle w:val="VerbatimChar"/>
        </w:rPr>
        <w:t xml:space="preserve">UnidadeEscolar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Responsável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Matrícula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</w:t>
      </w:r>
      <w:r>
        <w:t xml:space="preserve">,</w:t>
      </w:r>
      <w:r>
        <w:t xml:space="preserve"> </w:t>
      </w:r>
      <w:r>
        <w:rPr>
          <w:rStyle w:val="VerbatimChar"/>
        </w:rPr>
        <w:t xml:space="preserve">Usuário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,</w:t>
      </w:r>
      <w:r>
        <w:t xml:space="preserve"> </w:t>
      </w:r>
      <w:r>
        <w:rPr>
          <w:rStyle w:val="VerbatimChar"/>
        </w:rPr>
        <w:t xml:space="preserve">Ocorrência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Envolvimento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Ação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Comunicação</w:t>
      </w:r>
      <w:r>
        <w:t xml:space="preserve">,</w:t>
      </w:r>
      <w:r>
        <w:t xml:space="preserve"> </w:t>
      </w:r>
      <w:r>
        <w:rPr>
          <w:rStyle w:val="VerbatimChar"/>
        </w:rPr>
        <w:t xml:space="preserve">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Encaminhamento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ClassificaçãoAcesso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PolíticaRetenção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mínimos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unidade_id, categoria, data_hora_fato, local, relato_factual, prioridade, status, classificação, criado_por, criado_em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ocorrência_id, pessoa_id, papel_no_fato, nível_de_visibilidade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ocorrência_id, tipo, descrição, responsável_id, prazo, concluída_em,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ocorrência_id, destinatário, modelo, resumo, canal, enviada_em, confirmação, acesso_restrito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ocorrência_id, tipo, hash, localização_privada, classificação, enviado_por, retenção_até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ator, ação, recurso, data_hora, motivo, origem, resultado; sem duplicar conteúdo sensível</w:t>
            </w:r>
          </w:p>
        </w:tc>
      </w:tr>
    </w:tbl>
    <w:p>
      <w:pPr>
        <w:pStyle w:val="BodyText"/>
      </w:pPr>
      <w:r>
        <w:t xml:space="preserve">Índices: unidade+status+prazo, estudante+data (protegido por autorização), categoria+período e auditoria+recurso. Use UUIDs,</w:t>
      </w:r>
      <w:r>
        <w:t xml:space="preserve"> </w:t>
      </w:r>
      <w:r>
        <w:rPr>
          <w:rStyle w:val="VerbatimChar"/>
        </w:rPr>
        <w:t xml:space="preserve">created_at/updated_at</w:t>
      </w:r>
      <w:r>
        <w:t xml:space="preserve">, exclusão lógica quando juridicamente adequada e versionamento/adendos em vez de sobrescrita silenciosa.</w:t>
      </w:r>
    </w:p>
    <w:bookmarkEnd w:id="44"/>
    <w:bookmarkStart w:id="45" w:name="segurança-privacidade-e-retenção"/>
    <w:p>
      <w:pPr>
        <w:pStyle w:val="Heading2"/>
      </w:pPr>
      <w:r>
        <w:t xml:space="preserve">10. Segurança, privacidade e retenção</w:t>
      </w:r>
    </w:p>
    <w:p>
      <w:pPr>
        <w:pStyle w:val="FirstParagraph"/>
      </w:pPr>
      <w:r>
        <w:t xml:space="preserve">Medidas mínimas: MFA para perfis privilegiados; SSO quando disponível; RBAC com regras por unidade/caso; criptografia em trânsito e repouso; gestão de segredos; WAF/rate limit; varredura de anexos; backups criptografados e restauração testada; registro centralizado; revisão periódica de acesso; correções de segurança; pentest proporcional; plano de resposta a incidentes.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negar por padrão; liberar por papel, unidade e necessidade de atuação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limitar formatos/tamanho; verificar malware; URL temporária; impedir download se não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motivo, filtros mínimos, marca d’água, auditoria e, quando possível, dados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temporalidade aprovada pela rede e avaliação jurídica; revisão/eliminação segura ao fim do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detectar, conter, preservar evidências, avaliar risco, comunicar controlador/encarregado e ANPD/titulares quando cabível</w:t>
            </w:r>
          </w:p>
        </w:tc>
      </w:tr>
    </w:tbl>
    <w:p>
      <w:pPr>
        <w:pStyle w:val="BodyText"/>
      </w:pPr>
      <w:r>
        <w:t xml:space="preserve">Faça RIPD/relatório de impacto antes do piloto se o tratamento puder gerar alto risco; mantenha inventário de dados, contratos com operadores, política de privacidade e canal do encarregado. Não use dados reais de estudantes em ambiente de demonstração.</w:t>
      </w:r>
    </w:p>
    <w:bookmarkEnd w:id="45"/>
    <w:bookmarkStart w:id="46" w:name="documentação-e-operação"/>
    <w:p>
      <w:pPr>
        <w:pStyle w:val="Heading2"/>
      </w:pPr>
      <w:r>
        <w:t xml:space="preserve">11. Documentação e operação</w:t>
      </w:r>
    </w:p>
    <w:p>
      <w:pPr>
        <w:pStyle w:val="FirstParagraph"/>
      </w:pPr>
      <w:r>
        <w:t xml:space="preserve">Entregáveis obrigatórios: visão e requisitos; mapa de processos; matriz RACI; matriz de acesso; dicionário de dados; diagrama de arquitetura; OpenAPI; guia de implantação; manual de usuário por perfil; protocolo de triagem e urgência; política de privacidade; política de retenção; plano de continuidade; plano de incidentes; registro de decisões; roteiro de treinamento e FAQ.</w:t>
      </w:r>
    </w:p>
    <w:p>
      <w:pPr>
        <w:pStyle w:val="BodyText"/>
      </w:pPr>
      <w:r>
        <w:rPr>
          <w:bCs/>
          <w:b/>
        </w:rPr>
        <w:t xml:space="preserve">RACI mínimo:</w:t>
      </w:r>
      <w:r>
        <w:t xml:space="preserve"> </w:t>
      </w:r>
      <w:r>
        <w:t xml:space="preserve">direção aprova protocolo; coordenação é responsável pela condução; professor registra/colabora; encarregado orienta privacidade; TI opera controles; secretaria define governança interunidades. Ajuste a responsabilidades formais da rede.</w:t>
      </w:r>
    </w:p>
    <w:p>
      <w:pPr>
        <w:pStyle w:val="BodyText"/>
      </w:pPr>
      <w:r>
        <w:t xml:space="preserve">SOP de ocorrência: acolher e proteger → registrar fato objetivo → avaliar urgência → acionar fluxo local → documentar decisão → informar quem precisa saber → acompanhar → encerrar/revisar. O sistema registra o procedimento, mas não substitui profissionais competentes, serviço de saúde, Conselho Tutelar, Ministério Público ou autoridades quando a lei/protocolo exigir.</w:t>
      </w:r>
    </w:p>
    <w:bookmarkEnd w:id="46"/>
    <w:bookmarkStart w:id="49" w:name="mvp-e-critérios-de-aceite"/>
    <w:p>
      <w:pPr>
        <w:pStyle w:val="Heading2"/>
      </w:pPr>
      <w:r>
        <w:t xml:space="preserve">12. MVP e critérios de aceite</w:t>
      </w:r>
    </w:p>
    <w:bookmarkStart w:id="47" w:name="o-que-entra"/>
    <w:p>
      <w:pPr>
        <w:pStyle w:val="Heading3"/>
      </w:pPr>
      <w:r>
        <w:t xml:space="preserve">O que entra</w:t>
      </w:r>
    </w:p>
    <w:p>
      <w:pPr>
        <w:pStyle w:val="FirstParagraph"/>
      </w:pPr>
      <w:r>
        <w:t xml:space="preserve">Autenticação; usuários e escolas; cadastro/sincronização básica de turma e estudante; criação de ocorrência; categorias; envolvimentos; fila de triagem; atribuição; timeline; ações e prazos; anexos privados; modelos de comunicação; busca autorizada; relatório agregado básico; auditoria; permissões; backups; documentação e treinamento piloto.</w:t>
      </w:r>
    </w:p>
    <w:bookmarkEnd w:id="47"/>
    <w:bookmarkStart w:id="48" w:name="o-que-fica-fora-inicialmente"/>
    <w:p>
      <w:pPr>
        <w:pStyle w:val="Heading3"/>
      </w:pPr>
      <w:r>
        <w:t xml:space="preserve">O que fica fora inicialmente</w:t>
      </w:r>
    </w:p>
    <w:p>
      <w:pPr>
        <w:pStyle w:val="FirstParagraph"/>
      </w:pPr>
      <w:r>
        <w:t xml:space="preserve">IA para classificação; reconhecimento facial; previsão de comportamento; app nativo; integrações extensas; chat aberto entre responsáveis; painel público; automação de sanções; BI complexo.</w:t>
      </w:r>
    </w:p>
    <w:p>
      <w:pPr>
        <w:pStyle w:val="BodyText"/>
      </w:pPr>
      <w:r>
        <w:rPr>
          <w:bCs/>
          <w:b/>
        </w:rPr>
        <w:t xml:space="preserve">Critérios de aceite:</w:t>
      </w:r>
      <w:r>
        <w:t xml:space="preserve"> </w:t>
      </w:r>
      <w:r>
        <w:t xml:space="preserve">usuário sem permissão não consegue encontrar nem inferir caso restrito; toda mudança relevante gera auditoria; registro pode virar rascunho sem envio; triagem vê fila ordenada por protocolo; anexos são privados e verificados; exportação fica registrada; relatório agrega e suprime grupos pequenos conforme política; backup é restaurado em teste; fluxo funciona com leitor de tela e teclado nos caminhos críticos.</w:t>
      </w:r>
    </w:p>
    <w:bookmarkEnd w:id="48"/>
    <w:bookmarkEnd w:id="49"/>
    <w:bookmarkStart w:id="50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Duração indicativa*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Descoberta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entrevistas, fluxo, inventário de dados, protocolo, riscos, protótipo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identidade, modelo de dados, permissões, auditoria, infraestrutura e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6–10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triagem, acompanhamento, comunicação, relatório básico e documentação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4–8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unidades, treinamento, suporte, correções e avaliação de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integrações, relatórios, acessibilidade avançada, governança e expansão</w:t>
            </w:r>
          </w:p>
        </w:tc>
      </w:tr>
    </w:tbl>
    <w:p>
      <w:pPr>
        <w:pStyle w:val="BodyText"/>
      </w:pPr>
      <w:r>
        <w:t xml:space="preserve">*Prazos são</w:t>
      </w:r>
      <w:r>
        <w:t xml:space="preserve"> </w:t>
      </w:r>
      <w:r>
        <w:rPr>
          <w:bCs/>
          <w:b/>
        </w:rPr>
        <w:t xml:space="preserve">exemplos fictícios</w:t>
      </w:r>
      <w:r>
        <w:t xml:space="preserve">, variam por equipe, compras públicas, integrações e maturidade da rede. Só avance de fase após teste com usuários e aprovação de privacidade/protocolo.</w:t>
      </w:r>
    </w:p>
    <w:bookmarkEnd w:id="50"/>
    <w:bookmarkStart w:id="51" w:name="pesquisa-de-campo-e-implantação"/>
    <w:p>
      <w:pPr>
        <w:pStyle w:val="Heading2"/>
      </w:pPr>
      <w:r>
        <w:t xml:space="preserve">14. Pesquisa de campo e implantação</w:t>
      </w:r>
    </w:p>
    <w:p>
      <w:pPr>
        <w:pStyle w:val="FirstParagraph"/>
      </w:pPr>
      <w:r>
        <w:t xml:space="preserve">Entrevistar: direção, coordenação, professores, inspetores/apoio, secretaria, TI, encarregado/DPO, famílias e, com salvaguardas apropriadas, estudantes. Observe uma jornada sem coletar conteúdo sensível desnecessário.</w:t>
      </w:r>
    </w:p>
    <w:p>
      <w:pPr>
        <w:pStyle w:val="BodyText"/>
      </w:pPr>
      <w:r>
        <w:t xml:space="preserve">Perguntas essenciais: onde se perde informação? quais fatos exigem resposta imediata? quem pode ver o quê? quais comunicações causam conflito? qual dado é indispensável? qual fluxo já é previsto pela rede? quanto tempo é aceitável para registrar/triagem? como funciona sem internet? quais adaptações de acessibilidade são necessárias?</w:t>
      </w:r>
    </w:p>
    <w:p>
      <w:pPr>
        <w:pStyle w:val="BodyText"/>
      </w:pPr>
      <w:r>
        <w:t xml:space="preserve">Piloto: escolha escolas com perfis diferentes; nomeie pontos focais; migre apenas o necessário; configure categorias e prazos; treine por cenário; faça plantão inicial; revise semanalmente incidentes, acesso, qualidade de texto e prazos. Não compare escolas por</w:t>
      </w:r>
      <w:r>
        <w:t xml:space="preserve"> </w:t>
      </w:r>
      <w:r>
        <w:t xml:space="preserve">“</w:t>
      </w:r>
      <w:r>
        <w:t xml:space="preserve">número bruto de ocorrências</w:t>
      </w:r>
      <w:r>
        <w:t xml:space="preserve">”</w:t>
      </w:r>
      <w:r>
        <w:t xml:space="preserve">: aumento de registros pode indicar mais confiança no canal, não piora de convivência.</w:t>
      </w:r>
    </w:p>
    <w:bookmarkEnd w:id="51"/>
    <w:bookmarkStart w:id="52" w:name="riscos-e-mitigação"/>
    <w:p>
      <w:pPr>
        <w:pStyle w:val="Heading2"/>
      </w:pPr>
      <w:r>
        <w:t xml:space="preserve">15. Riscos e mitigação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Estigmatização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rótulos e histórico usado fora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factual, acesso mínimo, adendos e revisão pedagógica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exportações/anexos compartilhados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controles de download, auditoria, treinamento e resposta a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Subnotificação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poucos registros apesar de relatos informais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rápido, acolhedor e sem caráter punitivo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Supernotificação punitiva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vagos/desproporcionais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orientação, categorias claras, revisão de triagem e monitoramento de viés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Automação indevida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regra/IA decide 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humano responsável, explicabilidade e bloqueio de decisão automática sensível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aluno/turma trocados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estáveis, conciliação, logs, aprovação e reversão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 adesão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planilhas paralelas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co-design, treinamento, suporte e ganho claro de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fornecedor/servidor indisponível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exportação, backups, SLA, plano manual e cláusulas de portabilidade</w:t>
            </w:r>
          </w:p>
        </w:tc>
      </w:tr>
    </w:tbl>
    <w:bookmarkEnd w:id="52"/>
    <w:bookmarkStart w:id="55" w:name="métricas-e-checklist-de-lançamento"/>
    <w:p>
      <w:pPr>
        <w:pStyle w:val="Heading2"/>
      </w:pPr>
      <w:r>
        <w:t xml:space="preserve">16. Métricas e checklist de lançamento</w:t>
      </w:r>
    </w:p>
    <w:bookmarkStart w:id="53" w:name="métricas-úteis"/>
    <w:p>
      <w:pPr>
        <w:pStyle w:val="Heading3"/>
      </w:pPr>
      <w:r>
        <w:t xml:space="preserve">Métricas úteis</w:t>
      </w:r>
    </w:p>
    <w:p>
      <w:pPr>
        <w:pStyle w:val="FirstParagraph"/>
      </w:pPr>
      <w:r>
        <w:t xml:space="preserve">Use métricas para melhorar o serviço, não para punir profissionais ou comparar estudantes.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correta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até triagem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mediana(recebido − criado)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com prazo do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com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com ação/prazo ÷ casos que exigem acompanhamento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 continuidade do 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Prazo cumprido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concluídas no prazo ÷ ações devidas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 gargalos de capacidade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Qualidade do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 com campos/contexto 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qualitativa, nunca ranking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indevido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tentativas bloqueadas e revisadas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controle, investigar padrões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Reincidência contextual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ocorrências relacionadas por período, com análise humana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concluir causalidade nem rotular aluno</w:t>
            </w:r>
          </w:p>
        </w:tc>
      </w:tr>
    </w:tbl>
    <w:bookmarkEnd w:id="53"/>
    <w:bookmarkStart w:id="54" w:name="checklist"/>
    <w:p>
      <w:pPr>
        <w:pStyle w:val="Heading3"/>
      </w:pPr>
      <w:r>
        <w:t xml:space="preserve">Checklist</w:t>
      </w:r>
    </w:p>
    <w:p>
      <w:pPr>
        <w:numPr>
          <w:ilvl w:val="0"/>
          <w:numId w:val="1003"/>
        </w:numPr>
        <w:pStyle w:val="Compact"/>
      </w:pPr>
      <w:r>
        <w:t xml:space="preserve">☐ Protocolo de ocorrências e urgências aprovado pela rede.</w:t>
      </w:r>
    </w:p>
    <w:p>
      <w:pPr>
        <w:numPr>
          <w:ilvl w:val="0"/>
          <w:numId w:val="1003"/>
        </w:numPr>
        <w:pStyle w:val="Compact"/>
      </w:pPr>
      <w:r>
        <w:t xml:space="preserve">☐ Papéis, matriz de acesso e donos de decisão definidos.</w:t>
      </w:r>
    </w:p>
    <w:p>
      <w:pPr>
        <w:numPr>
          <w:ilvl w:val="0"/>
          <w:numId w:val="1003"/>
        </w:numPr>
        <w:pStyle w:val="Compact"/>
      </w:pPr>
      <w:r>
        <w:t xml:space="preserve">☐ Inventário de dados, base legal, política de retenção e orientação do encarregado revisados.</w:t>
      </w:r>
    </w:p>
    <w:p>
      <w:pPr>
        <w:numPr>
          <w:ilvl w:val="0"/>
          <w:numId w:val="1003"/>
        </w:numPr>
        <w:pStyle w:val="Compact"/>
      </w:pPr>
      <w:r>
        <w:t xml:space="preserve">☐ RIPD avaliado quando aplicável.</w:t>
      </w:r>
    </w:p>
    <w:p>
      <w:pPr>
        <w:numPr>
          <w:ilvl w:val="0"/>
          <w:numId w:val="1003"/>
        </w:numPr>
        <w:pStyle w:val="Compact"/>
      </w:pPr>
      <w:r>
        <w:t xml:space="preserve">☐ Telas críticas testadas com docentes, coordenação e pessoas com deficiência.</w:t>
      </w:r>
    </w:p>
    <w:p>
      <w:pPr>
        <w:numPr>
          <w:ilvl w:val="0"/>
          <w:numId w:val="1003"/>
        </w:numPr>
        <w:pStyle w:val="Compact"/>
      </w:pPr>
      <w:r>
        <w:t xml:space="preserve">☐ Testes de autorização, auditoria, anexos, backup/restauração e carga concluídos.</w:t>
      </w:r>
    </w:p>
    <w:p>
      <w:pPr>
        <w:numPr>
          <w:ilvl w:val="0"/>
          <w:numId w:val="1003"/>
        </w:numPr>
        <w:pStyle w:val="Compact"/>
      </w:pPr>
      <w:r>
        <w:t xml:space="preserve">☐ Comunicação a famílias e avisos de privacidade preparados em linguagem clara.</w:t>
      </w:r>
    </w:p>
    <w:p>
      <w:pPr>
        <w:numPr>
          <w:ilvl w:val="0"/>
          <w:numId w:val="1003"/>
        </w:numPr>
        <w:pStyle w:val="Compact"/>
      </w:pPr>
      <w:r>
        <w:t xml:space="preserve">☐ Treinamento e suporte do piloto agendados.</w:t>
      </w:r>
    </w:p>
    <w:p>
      <w:pPr>
        <w:numPr>
          <w:ilvl w:val="0"/>
          <w:numId w:val="1003"/>
        </w:numPr>
        <w:pStyle w:val="Compact"/>
      </w:pPr>
      <w:r>
        <w:t xml:space="preserve">☐ Plano manual para indisponibilidade e plano de resposta a incidentes testados.</w:t>
      </w:r>
    </w:p>
    <w:p>
      <w:pPr>
        <w:numPr>
          <w:ilvl w:val="0"/>
          <w:numId w:val="1003"/>
        </w:numPr>
        <w:pStyle w:val="Compact"/>
      </w:pPr>
      <w:r>
        <w:t xml:space="preserve">☐ Indicadores, rotina de revisão e canal de feedback ativos.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fontes-e-leitura-complementar"/>
    <w:p>
      <w:pPr>
        <w:pStyle w:val="Heading2"/>
      </w:pPr>
      <w:r>
        <w:t xml:space="preserve">Fontes e leitura complementar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3">
        <w:r>
          <w:rPr>
            <w:rStyle w:val="Hyperlink"/>
          </w:rPr>
          <w:t xml:space="preserve">Constituição da República Federativa do Brasil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4">
        <w:r>
          <w:rPr>
            <w:rStyle w:val="Hyperlink"/>
          </w:rPr>
          <w:t xml:space="preserve">Estatuto da Criança e do Adolescente — Lei 8.069/1990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5">
        <w:r>
          <w:rPr>
            <w:rStyle w:val="Hyperlink"/>
          </w:rPr>
          <w:t xml:space="preserve">Lei de Diretrizes e Bases da Educação Nacional — Lei 9.394/1996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6">
        <w:r>
          <w:rPr>
            <w:rStyle w:val="Hyperlink"/>
          </w:rPr>
          <w:t xml:space="preserve">Lei Geral de Proteção de Dados Pessoais — Lei 13.709/2018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8">
        <w:r>
          <w:rPr>
            <w:rStyle w:val="Hyperlink"/>
          </w:rPr>
          <w:t xml:space="preserve">Lei 13.185/2015 — Programa de Combate à Intimidação Sistemática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Presidência da República.</w:t>
      </w:r>
      <w:r>
        <w:t xml:space="preserve"> </w:t>
      </w:r>
      <w:hyperlink r:id="rId37">
        <w:r>
          <w:rPr>
            <w:rStyle w:val="Hyperlink"/>
          </w:rPr>
          <w:t xml:space="preserve">Lei 14.811/2024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Autoridade Nacional de Proteção de Dados.</w:t>
      </w:r>
      <w:r>
        <w:t xml:space="preserve"> </w:t>
      </w:r>
      <w:hyperlink r:id="rId39">
        <w:r>
          <w:rPr>
            <w:rStyle w:val="Hyperlink"/>
          </w:rPr>
          <w:t xml:space="preserve">Tratamento de dados pessoais de crianças e adolescentes — guia orientativo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Governo Digital.</w:t>
      </w:r>
      <w:r>
        <w:t xml:space="preserve"> </w:t>
      </w:r>
      <w:hyperlink r:id="rId40">
        <w:r>
          <w:rPr>
            <w:rStyle w:val="Hyperlink"/>
          </w:rPr>
          <w:t xml:space="preserve">eMAG — Modelo de Acessibilidade em Governo Eletrônico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Ministério da Educação.</w:t>
      </w:r>
      <w:r>
        <w:t xml:space="preserve"> </w:t>
      </w:r>
      <w:hyperlink r:id="rId56">
        <w:r>
          <w:rPr>
            <w:rStyle w:val="Hyperlink"/>
          </w:rPr>
          <w:t xml:space="preserve">Base Nacional Comum Curricular</w:t>
        </w:r>
      </w:hyperlink>
      <w:r>
        <w:t xml:space="preserve">.</w:t>
      </w:r>
    </w:p>
    <w:p>
      <w:pPr>
        <w:pStyle w:val="BlockText"/>
      </w:pPr>
      <w:r>
        <w:rPr>
          <w:bCs/>
          <w:b/>
        </w:rPr>
        <w:t xml:space="preserve">Revisão recomendada:</w:t>
      </w:r>
      <w:r>
        <w:t xml:space="preserve"> </w:t>
      </w:r>
      <w:r>
        <w:t xml:space="preserve">valide as normas estaduais/municipais, o regimento escolar, o plano de convivência, contratos, tabela de temporalidade e fluxo local de proteção antes da implementação em produção.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://basenacionalcomum.mec.gov.br/" TargetMode="External" /><Relationship Type="http://schemas.openxmlformats.org/officeDocument/2006/relationships/hyperlink" Id="rId30" Target="https://edu.google.com/intl/ALL_br/why-google/privacy-security/" TargetMode="External" /><Relationship Type="http://schemas.openxmlformats.org/officeDocument/2006/relationships/hyperlink" Id="rId40" Target="https://emag.governoeletronico.gov.br/" TargetMode="External" /><Relationship Type="http://schemas.openxmlformats.org/officeDocument/2006/relationships/hyperlink" Id="rId28" Target="https://sed.educacao.sp.gov.br/" TargetMode="External" /><Relationship Type="http://schemas.openxmlformats.org/officeDocument/2006/relationships/hyperlink" Id="rId29" Target="https://softwarepublico.gov.br/social/i-educar" TargetMode="External" /><Relationship Type="http://schemas.openxmlformats.org/officeDocument/2006/relationships/hyperlink" Id="rId39" Target="https://www.gov.br/anpd/pt-br/documentos-e-publicacoes/guia-orientativo-tratamento-de-dados-pessoais-de-criancas-e-adolescentes.pdf" TargetMode="External" /><Relationship Type="http://schemas.openxmlformats.org/officeDocument/2006/relationships/hyperlink" Id="rId31" Target="https://www.microsoft.com/pt-br/education/products/microsoft-365-security" TargetMode="External" /><Relationship Type="http://schemas.openxmlformats.org/officeDocument/2006/relationships/hyperlink" Id="rId38" Target="https://www.planalto.gov.br/ccivil_03/_ato2015-2018/2015/lei/l13185.htm" TargetMode="External" /><Relationship Type="http://schemas.openxmlformats.org/officeDocument/2006/relationships/hyperlink" Id="rId36" Target="https://www.planalto.gov.br/ccivil_03/_ato2015-2018/2018/lei/l13709.htm" TargetMode="External" /><Relationship Type="http://schemas.openxmlformats.org/officeDocument/2006/relationships/hyperlink" Id="rId37" Target="https://www.planalto.gov.br/ccivil_03/_ato2023-2026/2024/lei/l14811.htm" TargetMode="External" /><Relationship Type="http://schemas.openxmlformats.org/officeDocument/2006/relationships/hyperlink" Id="rId33" Target="https://www.planalto.gov.br/ccivil_03/constituicao/constituicao.htm" TargetMode="External" /><Relationship Type="http://schemas.openxmlformats.org/officeDocument/2006/relationships/hyperlink" Id="rId34" Target="https://www.planalto.gov.br/ccivil_03/leis/l8069.htm" TargetMode="External" /><Relationship Type="http://schemas.openxmlformats.org/officeDocument/2006/relationships/hyperlink" Id="rId35" Target="https://www.planalto.gov.br/ccivil_03/leis/l9394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://basenacionalcomum.mec.gov.br/" TargetMode="External" /><Relationship Type="http://schemas.openxmlformats.org/officeDocument/2006/relationships/hyperlink" Id="rId30" Target="https://edu.google.com/intl/ALL_br/why-google/privacy-security/" TargetMode="External" /><Relationship Type="http://schemas.openxmlformats.org/officeDocument/2006/relationships/hyperlink" Id="rId40" Target="https://emag.governoeletronico.gov.br/" TargetMode="External" /><Relationship Type="http://schemas.openxmlformats.org/officeDocument/2006/relationships/hyperlink" Id="rId28" Target="https://sed.educacao.sp.gov.br/" TargetMode="External" /><Relationship Type="http://schemas.openxmlformats.org/officeDocument/2006/relationships/hyperlink" Id="rId29" Target="https://softwarepublico.gov.br/social/i-educar" TargetMode="External" /><Relationship Type="http://schemas.openxmlformats.org/officeDocument/2006/relationships/hyperlink" Id="rId39" Target="https://www.gov.br/anpd/pt-br/documentos-e-publicacoes/guia-orientativo-tratamento-de-dados-pessoais-de-criancas-e-adolescentes.pdf" TargetMode="External" /><Relationship Type="http://schemas.openxmlformats.org/officeDocument/2006/relationships/hyperlink" Id="rId31" Target="https://www.microsoft.com/pt-br/education/products/microsoft-365-security" TargetMode="External" /><Relationship Type="http://schemas.openxmlformats.org/officeDocument/2006/relationships/hyperlink" Id="rId38" Target="https://www.planalto.gov.br/ccivil_03/_ato2015-2018/2015/lei/l13185.htm" TargetMode="External" /><Relationship Type="http://schemas.openxmlformats.org/officeDocument/2006/relationships/hyperlink" Id="rId36" Target="https://www.planalto.gov.br/ccivil_03/_ato2015-2018/2018/lei/l13709.htm" TargetMode="External" /><Relationship Type="http://schemas.openxmlformats.org/officeDocument/2006/relationships/hyperlink" Id="rId37" Target="https://www.planalto.gov.br/ccivil_03/_ato2023-2026/2024/lei/l14811.htm" TargetMode="External" /><Relationship Type="http://schemas.openxmlformats.org/officeDocument/2006/relationships/hyperlink" Id="rId33" Target="https://www.planalto.gov.br/ccivil_03/constituicao/constituicao.htm" TargetMode="External" /><Relationship Type="http://schemas.openxmlformats.org/officeDocument/2006/relationships/hyperlink" Id="rId34" Target="https://www.planalto.gov.br/ccivil_03/leis/l8069.htm" TargetMode="External" /><Relationship Type="http://schemas.openxmlformats.org/officeDocument/2006/relationships/hyperlink" Id="rId35" Target="https://www.planalto.gov.br/ccivil_03/leis/l9394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2026-09-25T21:19:25Z</dcterms:created>
  <dcterms:modified xsi:type="dcterms:W3CDTF">2026-09-25T21:19:25Z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