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Eyebrow"/>
      </w:pPr>
      <w:r>
        <w:t xml:space="preserve">CAPABILITY &amp; READINESS BRIEF</w:t>
      </w:r>
    </w:p>
    <w:p>
      <w:pPr>
        <w:pStyle w:val="Title"/>
      </w:pPr>
      <w:r>
        <w:t xml:space="preserve">Venue booking platform for The Playhouse Company</w:t>
      </w:r>
    </w:p>
    <w:p>
      <w:pPr>
        <w:pStyle w:val="Standfirst"/>
      </w:pPr>
      <w:r>
        <w:t xml:space="preserve">A working booking platform for all fourteen Playhouse venues — public hire pages, online payment, an approvals workflow for the theatres, operational reporting and a booking assistant on web and WhatsApp. Built and demonstrable today; the items it still needs are commercial, not technical.</w:t>
      </w:r>
    </w:p>
    <w:p>
      <w:pPr>
        <w:pStyle w:val="Dateline"/>
      </w:pPr>
      <w:r>
        <w:t xml:space="preserve">Status as at 18 August 2026 · prepared for proposal drafting</w:t>
      </w:r>
    </w:p>
    <w:tbl>
      <w:tblPr>
        <w:tblW w:w="9638" w:type="dxa"/>
        <w:tblBorders>
          <w:top w:val="single" w:sz="4" w:space="0" w:color="DED4C6"/>
          <w:left w:val="single" w:sz="4" w:space="0" w:color="DED4C6"/>
          <w:bottom w:val="single" w:sz="4" w:space="0" w:color="DED4C6"/>
          <w:right w:val="single" w:sz="4" w:space="0" w:color="DED4C6"/>
          <w:insideH w:val="single" w:sz="4" w:space="0" w:color="DED4C6"/>
          <w:insideV w:val="single" w:sz="4" w:space="0" w:color="DED4C6"/>
        </w:tblBorders>
        <w:tblLayout w:type="fixed"/>
      </w:tblPr>
      <w:tblGrid>
        <w:gridCol w:w="2400"/>
        <w:gridCol w:w="2400"/>
        <w:gridCol w:w="2400"/>
        <w:gridCol w:w="2438"/>
      </w:tblGrid>
      <w:tr>
        <w:tc>
          <w:tcPr>
            <w:tcW w:w="2400" w:type="dxa"/>
            <w:shd w:val="clear" w:fill="FFFFFF"/>
            <w:tcMar>
              <w:top w:w="80" w:type="dxa"/>
              <w:bottom w:w="80" w:type="dxa"/>
              <w:left w:w="110" w:type="dxa"/>
              <w:right w:w="110" w:type="dxa"/>
            </w:tcMar>
          </w:tcPr>
          <w:p>
            <w:pPr>
              <w:pStyle w:val="Cell"/>
            </w:pPr>
            <w:r>
              <w:rPr>
                <w:sz w:val="19"/>
                <w:color w:val="3D382F"/>
              </w:rPr>
              <w:t xml:space="preserve">14 venues</w:t>
            </w:r>
          </w:p>
        </w:tc>
        <w:tc>
          <w:tcPr>
            <w:tcW w:w="2400" w:type="dxa"/>
            <w:shd w:val="clear" w:fill="FFFFFF"/>
            <w:tcMar>
              <w:top w:w="80" w:type="dxa"/>
              <w:bottom w:w="80" w:type="dxa"/>
              <w:left w:w="110" w:type="dxa"/>
              <w:right w:w="110" w:type="dxa"/>
            </w:tcMar>
          </w:tcPr>
          <w:p>
            <w:pPr>
              <w:pStyle w:val="Cell"/>
            </w:pPr>
            <w:r>
              <w:rPr>
                <w:sz w:val="19"/>
                <w:color w:val="3D382F"/>
              </w:rPr>
              <w:t xml:space="preserve">1 224 seats</w:t>
            </w:r>
          </w:p>
        </w:tc>
        <w:tc>
          <w:tcPr>
            <w:tcW w:w="2400" w:type="dxa"/>
            <w:shd w:val="clear" w:fill="FFFFFF"/>
            <w:tcMar>
              <w:top w:w="80" w:type="dxa"/>
              <w:bottom w:w="80" w:type="dxa"/>
              <w:left w:w="110" w:type="dxa"/>
              <w:right w:w="110" w:type="dxa"/>
            </w:tcMar>
          </w:tcPr>
          <w:p>
            <w:pPr>
              <w:pStyle w:val="Cell"/>
            </w:pPr>
            <w:r>
              <w:rPr>
                <w:sz w:val="19"/>
                <w:color w:val="3D382F"/>
              </w:rPr>
              <w:t xml:space="preserve">6 reports</w:t>
            </w:r>
          </w:p>
        </w:tc>
        <w:tc>
          <w:tcPr>
            <w:tcW w:w="2438" w:type="dxa"/>
            <w:shd w:val="clear" w:fill="FFFFFF"/>
            <w:tcMar>
              <w:top w:w="80" w:type="dxa"/>
              <w:bottom w:w="80" w:type="dxa"/>
              <w:left w:w="110" w:type="dxa"/>
              <w:right w:w="110" w:type="dxa"/>
            </w:tcMar>
          </w:tcPr>
          <w:p>
            <w:pPr>
              <w:pStyle w:val="Cell"/>
            </w:pPr>
            <w:r>
              <w:rPr>
                <w:sz w:val="19"/>
                <w:color w:val="3D382F"/>
              </w:rPr>
              <w:t xml:space="preserve">5 staff roles</w:t>
            </w:r>
          </w:p>
        </w:tc>
      </w:tr>
      <w:tr>
        <w:tc>
          <w:tcPr>
            <w:tcW w:w="2400" w:type="dxa"/>
            <w:shd w:val="clear" w:fill="FFFFFF"/>
            <w:tcMar>
              <w:top w:w="80" w:type="dxa"/>
              <w:bottom w:w="80" w:type="dxa"/>
              <w:left w:w="110" w:type="dxa"/>
              <w:right w:w="110" w:type="dxa"/>
            </w:tcMar>
          </w:tcPr>
          <w:p>
            <w:pPr>
              <w:pStyle w:val="Cell"/>
            </w:pPr>
            <w:r>
              <w:rPr>
                <w:sz w:val="19"/>
                <w:color w:val="3D382F"/>
              </w:rPr>
              <w:t xml:space="preserve">across 4 categories</w:t>
            </w:r>
          </w:p>
        </w:tc>
        <w:tc>
          <w:tcPr>
            <w:tcW w:w="2400" w:type="dxa"/>
            <w:shd w:val="clear" w:fill="FFFFFF"/>
            <w:tcMar>
              <w:top w:w="80" w:type="dxa"/>
              <w:bottom w:w="80" w:type="dxa"/>
              <w:left w:w="110" w:type="dxa"/>
              <w:right w:w="110" w:type="dxa"/>
            </w:tcMar>
          </w:tcPr>
          <w:p>
            <w:pPr>
              <w:pStyle w:val="Cell"/>
            </w:pPr>
            <w:r>
              <w:rPr>
                <w:sz w:val="19"/>
                <w:color w:val="3D382F"/>
              </w:rPr>
              <w:t xml:space="preserve">largest house (Opera)</w:t>
            </w:r>
          </w:p>
        </w:tc>
        <w:tc>
          <w:tcPr>
            <w:tcW w:w="2400" w:type="dxa"/>
            <w:shd w:val="clear" w:fill="FFFFFF"/>
            <w:tcMar>
              <w:top w:w="80" w:type="dxa"/>
              <w:bottom w:w="80" w:type="dxa"/>
              <w:left w:w="110" w:type="dxa"/>
              <w:right w:w="110" w:type="dxa"/>
            </w:tcMar>
          </w:tcPr>
          <w:p>
            <w:pPr>
              <w:pStyle w:val="Cell"/>
            </w:pPr>
            <w:r>
              <w:rPr>
                <w:sz w:val="19"/>
                <w:color w:val="3D382F"/>
              </w:rPr>
              <w:t xml:space="preserve">each exporting to CSV</w:t>
            </w:r>
          </w:p>
        </w:tc>
        <w:tc>
          <w:tcPr>
            <w:tcW w:w="2438" w:type="dxa"/>
            <w:shd w:val="clear" w:fill="FFFFFF"/>
            <w:tcMar>
              <w:top w:w="80" w:type="dxa"/>
              <w:bottom w:w="80" w:type="dxa"/>
              <w:left w:w="110" w:type="dxa"/>
              <w:right w:w="110" w:type="dxa"/>
            </w:tcMar>
          </w:tcPr>
          <w:p>
            <w:pPr>
              <w:pStyle w:val="Cell"/>
            </w:pPr>
            <w:r>
              <w:rPr>
                <w:sz w:val="19"/>
                <w:color w:val="3D382F"/>
              </w:rPr>
              <w:t xml:space="preserve">separately permissioned</w:t>
            </w:r>
          </w:p>
        </w:tc>
      </w:tr>
    </w:tbl>
    <w:p>
      <w:pPr>
        <w:pStyle w:val="Body"/>
      </w:pPr>
    </w:p>
    <w:p>
      <w:pPr>
        <w:pStyle w:val="Heading1"/>
      </w:pPr>
      <w:r>
        <w:t xml:space="preserve">Scope — what the platform does</w:t>
      </w:r>
    </w:p>
    <w:p>
      <w:pPr>
        <w:pStyle w:val="Body"/>
      </w:pPr>
      <w:r>
        <w:t xml:space="preserve">Three audiences are served by one system, all reading and writing the same booking record.</w:t>
      </w:r>
    </w:p>
    <w:p>
      <w:pPr>
        <w:pStyle w:val="Heading2"/>
      </w:pPr>
      <w:r>
        <w:t xml:space="preserve">For the customer</w:t>
      </w:r>
    </w:p>
    <w:p>
      <w:pPr>
        <w:pStyle w:val="Body"/>
      </w:pPr>
      <w:r>
        <w:t xml:space="preserve">Browse venues by category, see live availability, hold a slot, and pay online. Day-rate venues are chosen by date; hourly venues by a time grid. A hold lasts </w:t>
      </w:r>
      <w:r>
        <w:rPr>
          <w:b/>
        </w:rPr>
        <w:t xml:space="preserve">20 minutes</w:t>
      </w:r>
      <w:r>
        <w:t xml:space="preserve"> and is plainly labelled as not yet a booking. Customers can look up a booking by reference, pay an outstanding balance, and request a cancellation without phoning anyone.</w:t>
      </w:r>
    </w:p>
    <w:p>
      <w:pPr>
        <w:pStyle w:val="Heading2"/>
      </w:pPr>
      <w:r>
        <w:t xml:space="preserve">For The Playhouse Company</w:t>
      </w:r>
    </w:p>
    <w:p>
      <w:pPr>
        <w:pStyle w:val="Body"/>
      </w:pPr>
      <w:r>
        <w:t xml:space="preserve">An administration console covering bookings, approvals, payments and refunds, a venue calendar, venue and tariff management, operating hours, closures for public holidays and productions, and staff user management. Every consequential action is written to an audit trail against the person who took it.</w:t>
      </w:r>
    </w:p>
    <w:p>
      <w:pPr>
        <w:pStyle w:val="Heading2"/>
      </w:pPr>
      <w:r>
        <w:t xml:space="preserve">Booking assistant</w:t>
      </w:r>
    </w:p>
    <w:p>
      <w:pPr>
        <w:pStyle w:val="Body"/>
      </w:pPr>
      <w:r>
        <w:t xml:space="preserve">A conversational assistant on the website and on WhatsApp that can find a venue, check real availability, hold dates and start a booking, handing over a payment link. It never quotes a price or a date it has not looked up, never takes card details, and cannot confirm a booking itself — payment and approval remain the only routes to confirmation.</w:t>
      </w:r>
    </w:p>
    <w:p>
      <w:pPr>
        <w:pStyle w:val="Heading1"/>
      </w:pPr>
      <w:r>
        <w:t xml:space="preserve">Commercial model — venues and how each is sold</w:t>
      </w:r>
    </w:p>
    <w:p>
      <w:pPr>
        <w:pStyle w:val="Body"/>
      </w:pPr>
      <w:r>
        <w:t xml:space="preserve">The tariff structure is already modelled per venue, including which need management approval and which accept a deposit. Rates below are the seeded figures and should be checked against the current tariff schedule before the proposal quotes them.</w:t>
      </w:r>
    </w:p>
    <w:tbl>
      <w:tblPr>
        <w:tblW w:w="9638" w:type="dxa"/>
        <w:tblBorders>
          <w:top w:val="single" w:sz="4" w:space="0" w:color="DED4C6"/>
          <w:left w:val="single" w:sz="4" w:space="0" w:color="DED4C6"/>
          <w:bottom w:val="single" w:sz="4" w:space="0" w:color="DED4C6"/>
          <w:right w:val="single" w:sz="4" w:space="0" w:color="DED4C6"/>
          <w:insideH w:val="single" w:sz="4" w:space="0" w:color="DED4C6"/>
          <w:insideV w:val="single" w:sz="4" w:space="0" w:color="DED4C6"/>
        </w:tblBorders>
        <w:tblLayout w:type="fixed"/>
      </w:tblPr>
      <w:tblGrid>
        <w:gridCol w:w="2100"/>
        <w:gridCol w:w="1000"/>
        <w:gridCol w:w="900"/>
        <w:gridCol w:w="1100"/>
        <w:gridCol w:w="1500"/>
        <w:gridCol w:w="3038"/>
      </w:tblGrid>
      <w:tr>
        <w:trPr>
          <w:tblHeader/>
        </w:trPr>
        <w:tc>
          <w:tcPr>
            <w:tcW w:w="2100" w:type="dxa"/>
            <w:shd w:val="clear" w:fill="F1ECE3"/>
            <w:tcMar>
              <w:top w:w="80" w:type="dxa"/>
              <w:bottom w:w="80" w:type="dxa"/>
              <w:left w:w="110" w:type="dxa"/>
              <w:right w:w="110" w:type="dxa"/>
            </w:tcMar>
          </w:tcPr>
          <w:p>
            <w:pPr>
              <w:pStyle w:val="Cell"/>
            </w:pPr>
            <w:r>
              <w:rPr>
                <w:b/>
                <w:color w:val="6B6357"/>
                <w:sz w:val="16"/>
                <w:caps/>
              </w:rPr>
              <w:t xml:space="preserve">Venue</w:t>
            </w:r>
          </w:p>
        </w:tc>
        <w:tc>
          <w:tcPr>
            <w:tcW w:w="1000" w:type="dxa"/>
            <w:shd w:val="clear" w:fill="F1ECE3"/>
            <w:tcMar>
              <w:top w:w="80" w:type="dxa"/>
              <w:bottom w:w="80" w:type="dxa"/>
              <w:left w:w="110" w:type="dxa"/>
              <w:right w:w="110" w:type="dxa"/>
            </w:tcMar>
          </w:tcPr>
          <w:p>
            <w:pPr>
              <w:pStyle w:val="Cell"/>
            </w:pPr>
            <w:r>
              <w:rPr>
                <w:b/>
                <w:color w:val="6B6357"/>
                <w:sz w:val="16"/>
                <w:caps/>
              </w:rPr>
              <w:t xml:space="preserve">Capacity</w:t>
            </w:r>
          </w:p>
        </w:tc>
        <w:tc>
          <w:tcPr>
            <w:tcW w:w="900" w:type="dxa"/>
            <w:shd w:val="clear" w:fill="F1ECE3"/>
            <w:tcMar>
              <w:top w:w="80" w:type="dxa"/>
              <w:bottom w:w="80" w:type="dxa"/>
              <w:left w:w="110" w:type="dxa"/>
              <w:right w:w="110" w:type="dxa"/>
            </w:tcMar>
          </w:tcPr>
          <w:p>
            <w:pPr>
              <w:pStyle w:val="Cell"/>
            </w:pPr>
            <w:r>
              <w:rPr>
                <w:b/>
                <w:color w:val="6B6357"/>
                <w:sz w:val="16"/>
                <w:caps/>
              </w:rPr>
              <w:t xml:space="preserve">Sold by</w:t>
            </w:r>
          </w:p>
        </w:tc>
        <w:tc>
          <w:tcPr>
            <w:tcW w:w="1100" w:type="dxa"/>
            <w:shd w:val="clear" w:fill="F1ECE3"/>
            <w:tcMar>
              <w:top w:w="80" w:type="dxa"/>
              <w:bottom w:w="80" w:type="dxa"/>
              <w:left w:w="110" w:type="dxa"/>
              <w:right w:w="110" w:type="dxa"/>
            </w:tcMar>
          </w:tcPr>
          <w:p>
            <w:pPr>
              <w:pStyle w:val="Cell"/>
            </w:pPr>
            <w:r>
              <w:rPr>
                <w:b/>
                <w:color w:val="6B6357"/>
                <w:sz w:val="16"/>
                <w:caps/>
              </w:rPr>
              <w:t xml:space="preserve">Rate</w:t>
            </w:r>
          </w:p>
        </w:tc>
        <w:tc>
          <w:tcPr>
            <w:tcW w:w="1500" w:type="dxa"/>
            <w:shd w:val="clear" w:fill="F1ECE3"/>
            <w:tcMar>
              <w:top w:w="80" w:type="dxa"/>
              <w:bottom w:w="80" w:type="dxa"/>
              <w:left w:w="110" w:type="dxa"/>
              <w:right w:w="110" w:type="dxa"/>
            </w:tcMar>
          </w:tcPr>
          <w:p>
            <w:pPr>
              <w:pStyle w:val="Cell"/>
            </w:pPr>
            <w:r>
              <w:rPr>
                <w:b/>
                <w:color w:val="6B6357"/>
                <w:sz w:val="16"/>
                <w:caps/>
              </w:rPr>
              <w:t xml:space="preserve">Confirmation</w:t>
            </w:r>
          </w:p>
        </w:tc>
        <w:tc>
          <w:tcPr>
            <w:tcW w:w="3038" w:type="dxa"/>
            <w:shd w:val="clear" w:fill="F1ECE3"/>
            <w:tcMar>
              <w:top w:w="80" w:type="dxa"/>
              <w:bottom w:w="80" w:type="dxa"/>
              <w:left w:w="110" w:type="dxa"/>
              <w:right w:w="110" w:type="dxa"/>
            </w:tcMar>
          </w:tcPr>
          <w:p>
            <w:pPr>
              <w:pStyle w:val="Cell"/>
            </w:pPr>
            <w:r>
              <w:rPr>
                <w:b/>
                <w:color w:val="6B6357"/>
                <w:sz w:val="16"/>
                <w:caps/>
              </w:rPr>
              <w:t xml:space="preserve">Payment</w:t>
            </w:r>
          </w:p>
        </w:tc>
      </w:tr>
      <w:tr>
        <w:tc>
          <w:tcPr>
            <w:tcW w:w="9638" w:type="dxa"/>
            <w:gridSpan w:val="6"/>
            <w:shd w:val="clear" w:fill="FFFFFF"/>
            <w:tcMar>
              <w:top w:w="120" w:type="dxa"/>
              <w:bottom w:w="60" w:type="dxa"/>
              <w:left w:w="110" w:type="dxa"/>
            </w:tcMar>
          </w:tcPr>
          <w:p>
            <w:pPr>
              <w:pStyle w:val="Cell"/>
            </w:pPr>
            <w:r>
              <w:rPr>
                <w:b/>
                <w:caps/>
                <w:sz w:val="17"/>
                <w:color w:val="8A1538"/>
              </w:rPr>
              <w:t xml:space="preserve">Theatres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Opera</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1 224</w:t>
            </w:r>
          </w:p>
        </w:tc>
        <w:tc>
          <w:tcPr>
            <w:tcW w:w="900" w:type="dxa"/>
            <w:shd w:val="clear" w:fill="FFFFFF"/>
            <w:tcMar>
              <w:top w:w="80" w:type="dxa"/>
              <w:bottom w:w="80" w:type="dxa"/>
              <w:left w:w="110" w:type="dxa"/>
              <w:right w:w="110" w:type="dxa"/>
            </w:tcMar>
          </w:tcPr>
          <w:p>
            <w:pPr>
              <w:pStyle w:val="Cell"/>
            </w:pPr>
            <w:r>
              <w:rPr>
                <w:sz w:val="19"/>
                <w:color w:val="3D382F"/>
              </w:rPr>
              <w:t xml:space="preserve">Day</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R27 000</w:t>
            </w:r>
          </w:p>
        </w:tc>
        <w:tc>
          <w:tcPr>
            <w:tcW w:w="1500" w:type="dxa"/>
            <w:shd w:val="clear" w:fill="FFFFFF"/>
            <w:tcMar>
              <w:top w:w="80" w:type="dxa"/>
              <w:bottom w:w="80" w:type="dxa"/>
              <w:left w:w="110" w:type="dxa"/>
              <w:right w:w="110" w:type="dxa"/>
            </w:tcMar>
          </w:tcPr>
          <w:p>
            <w:pPr>
              <w:pStyle w:val="Cell"/>
            </w:pPr>
            <w:r>
              <w:rPr>
                <w:sz w:val="19"/>
                <w:color w:val="3D382F"/>
              </w:rPr>
              <w:t xml:space="preserve">Approval</w:t>
            </w:r>
          </w:p>
        </w:tc>
        <w:tc>
          <w:tcPr>
            <w:tcW w:w="3038" w:type="dxa"/>
            <w:shd w:val="clear" w:fill="FFFFFF"/>
            <w:tcMar>
              <w:top w:w="80" w:type="dxa"/>
              <w:bottom w:w="80" w:type="dxa"/>
              <w:left w:w="110" w:type="dxa"/>
              <w:right w:w="110" w:type="dxa"/>
            </w:tcMar>
          </w:tcPr>
          <w:p>
            <w:pPr>
              <w:pStyle w:val="Cell"/>
            </w:pPr>
            <w:r>
              <w:rPr>
                <w:sz w:val="19"/>
                <w:color w:val="3D382F"/>
              </w:rPr>
              <w:t xml:space="preserve">Deposit 50%</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Drama</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468</w:t>
            </w:r>
          </w:p>
        </w:tc>
        <w:tc>
          <w:tcPr>
            <w:tcW w:w="900" w:type="dxa"/>
            <w:shd w:val="clear" w:fill="FFFFFF"/>
            <w:tcMar>
              <w:top w:w="80" w:type="dxa"/>
              <w:bottom w:w="80" w:type="dxa"/>
              <w:left w:w="110" w:type="dxa"/>
              <w:right w:w="110" w:type="dxa"/>
            </w:tcMar>
          </w:tcPr>
          <w:p>
            <w:pPr>
              <w:pStyle w:val="Cell"/>
            </w:pPr>
            <w:r>
              <w:rPr>
                <w:sz w:val="19"/>
                <w:color w:val="3D382F"/>
              </w:rPr>
              <w:t xml:space="preserve">Day</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R15 000</w:t>
            </w:r>
          </w:p>
        </w:tc>
        <w:tc>
          <w:tcPr>
            <w:tcW w:w="1500" w:type="dxa"/>
            <w:shd w:val="clear" w:fill="FFFFFF"/>
            <w:tcMar>
              <w:top w:w="80" w:type="dxa"/>
              <w:bottom w:w="80" w:type="dxa"/>
              <w:left w:w="110" w:type="dxa"/>
              <w:right w:w="110" w:type="dxa"/>
            </w:tcMar>
          </w:tcPr>
          <w:p>
            <w:pPr>
              <w:pStyle w:val="Cell"/>
            </w:pPr>
            <w:r>
              <w:rPr>
                <w:sz w:val="19"/>
                <w:color w:val="3D382F"/>
              </w:rPr>
              <w:t xml:space="preserve">Approval</w:t>
            </w:r>
          </w:p>
        </w:tc>
        <w:tc>
          <w:tcPr>
            <w:tcW w:w="3038" w:type="dxa"/>
            <w:shd w:val="clear" w:fill="FFFFFF"/>
            <w:tcMar>
              <w:top w:w="80" w:type="dxa"/>
              <w:bottom w:w="80" w:type="dxa"/>
              <w:left w:w="110" w:type="dxa"/>
              <w:right w:w="110" w:type="dxa"/>
            </w:tcMar>
          </w:tcPr>
          <w:p>
            <w:pPr>
              <w:pStyle w:val="Cell"/>
            </w:pPr>
            <w:r>
              <w:rPr>
                <w:sz w:val="19"/>
                <w:color w:val="3D382F"/>
              </w:rPr>
              <w:t xml:space="preserve">Deposit 50%</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Loft</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136</w:t>
            </w:r>
          </w:p>
        </w:tc>
        <w:tc>
          <w:tcPr>
            <w:tcW w:w="900" w:type="dxa"/>
            <w:shd w:val="clear" w:fill="FFFFFF"/>
            <w:tcMar>
              <w:top w:w="80" w:type="dxa"/>
              <w:bottom w:w="80" w:type="dxa"/>
              <w:left w:w="110" w:type="dxa"/>
              <w:right w:w="110" w:type="dxa"/>
            </w:tcMar>
          </w:tcPr>
          <w:p>
            <w:pPr>
              <w:pStyle w:val="Cell"/>
            </w:pPr>
            <w:r>
              <w:rPr>
                <w:sz w:val="19"/>
                <w:color w:val="3D382F"/>
              </w:rPr>
              <w:t xml:space="preserve">Day</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R6 500</w:t>
            </w:r>
          </w:p>
        </w:tc>
        <w:tc>
          <w:tcPr>
            <w:tcW w:w="1500" w:type="dxa"/>
            <w:shd w:val="clear" w:fill="FFFFFF"/>
            <w:tcMar>
              <w:top w:w="80" w:type="dxa"/>
              <w:bottom w:w="80" w:type="dxa"/>
              <w:left w:w="110" w:type="dxa"/>
              <w:right w:w="110" w:type="dxa"/>
            </w:tcMar>
          </w:tcPr>
          <w:p>
            <w:pPr>
              <w:pStyle w:val="Cell"/>
            </w:pPr>
            <w:r>
              <w:rPr>
                <w:sz w:val="19"/>
                <w:color w:val="3D382F"/>
              </w:rPr>
              <w:t xml:space="preserve">Approval</w:t>
            </w:r>
          </w:p>
        </w:tc>
        <w:tc>
          <w:tcPr>
            <w:tcW w:w="3038" w:type="dxa"/>
            <w:shd w:val="clear" w:fill="FFFFFF"/>
            <w:tcMar>
              <w:top w:w="80" w:type="dxa"/>
              <w:bottom w:w="80" w:type="dxa"/>
              <w:left w:w="110" w:type="dxa"/>
              <w:right w:w="110" w:type="dxa"/>
            </w:tcMar>
          </w:tcPr>
          <w:p>
            <w:pPr>
              <w:pStyle w:val="Cell"/>
            </w:pPr>
            <w:r>
              <w:rPr>
                <w:sz w:val="19"/>
                <w:color w:val="3D382F"/>
              </w:rPr>
              <w:t xml:space="preserve">Full upfront</w:t>
            </w:r>
          </w:p>
        </w:tc>
      </w:tr>
      <w:tr>
        <w:tc>
          <w:tcPr>
            <w:tcW w:w="9638" w:type="dxa"/>
            <w:gridSpan w:val="6"/>
            <w:shd w:val="clear" w:fill="FFFFFF"/>
            <w:tcMar>
              <w:top w:w="120" w:type="dxa"/>
              <w:bottom w:w="60" w:type="dxa"/>
              <w:left w:w="110" w:type="dxa"/>
            </w:tcMar>
          </w:tcPr>
          <w:p>
            <w:pPr>
              <w:pStyle w:val="Cell"/>
            </w:pPr>
            <w:r>
              <w:rPr>
                <w:b/>
                <w:caps/>
                <w:sz w:val="17"/>
                <w:color w:val="8A1538"/>
              </w:rPr>
              <w:t xml:space="preserve">Function venues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Grand Foyer</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300</w:t>
            </w:r>
          </w:p>
        </w:tc>
        <w:tc>
          <w:tcPr>
            <w:tcW w:w="900" w:type="dxa"/>
            <w:shd w:val="clear" w:fill="FFFFFF"/>
            <w:tcMar>
              <w:top w:w="80" w:type="dxa"/>
              <w:bottom w:w="80" w:type="dxa"/>
              <w:left w:w="110" w:type="dxa"/>
              <w:right w:w="110" w:type="dxa"/>
            </w:tcMar>
          </w:tcPr>
          <w:p>
            <w:pPr>
              <w:pStyle w:val="Cell"/>
            </w:pPr>
            <w:r>
              <w:rPr>
                <w:sz w:val="19"/>
                <w:color w:val="3D382F"/>
              </w:rPr>
              <w:t xml:space="preserve">Day</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R27 000</w:t>
            </w:r>
          </w:p>
        </w:tc>
        <w:tc>
          <w:tcPr>
            <w:tcW w:w="1500" w:type="dxa"/>
            <w:shd w:val="clear" w:fill="FFFFFF"/>
            <w:tcMar>
              <w:top w:w="80" w:type="dxa"/>
              <w:bottom w:w="80" w:type="dxa"/>
              <w:left w:w="110" w:type="dxa"/>
              <w:right w:w="110" w:type="dxa"/>
            </w:tcMar>
          </w:tcPr>
          <w:p>
            <w:pPr>
              <w:pStyle w:val="Cell"/>
            </w:pPr>
            <w:r>
              <w:rPr>
                <w:sz w:val="19"/>
                <w:color w:val="3D382F"/>
              </w:rPr>
              <w:t xml:space="preserve">Approval</w:t>
            </w:r>
          </w:p>
        </w:tc>
        <w:tc>
          <w:tcPr>
            <w:tcW w:w="3038" w:type="dxa"/>
            <w:shd w:val="clear" w:fill="FFFFFF"/>
            <w:tcMar>
              <w:top w:w="80" w:type="dxa"/>
              <w:bottom w:w="80" w:type="dxa"/>
              <w:left w:w="110" w:type="dxa"/>
              <w:right w:w="110" w:type="dxa"/>
            </w:tcMar>
          </w:tcPr>
          <w:p>
            <w:pPr>
              <w:pStyle w:val="Cell"/>
            </w:pPr>
            <w:r>
              <w:rPr>
                <w:sz w:val="19"/>
                <w:color w:val="3D382F"/>
              </w:rPr>
              <w:t xml:space="preserve">Deposit 40%</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Tudor Room</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100</w:t>
            </w:r>
          </w:p>
        </w:tc>
        <w:tc>
          <w:tcPr>
            <w:tcW w:w="900" w:type="dxa"/>
            <w:shd w:val="clear" w:fill="FFFFFF"/>
            <w:tcMar>
              <w:top w:w="80" w:type="dxa"/>
              <w:bottom w:w="80" w:type="dxa"/>
              <w:left w:w="110" w:type="dxa"/>
              <w:right w:w="110" w:type="dxa"/>
            </w:tcMar>
          </w:tcPr>
          <w:p>
            <w:pPr>
              <w:pStyle w:val="Cell"/>
            </w:pPr>
            <w:r>
              <w:rPr>
                <w:sz w:val="19"/>
                <w:color w:val="3D382F"/>
              </w:rPr>
              <w:t xml:space="preserve">Day</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R28 000</w:t>
            </w:r>
          </w:p>
        </w:tc>
        <w:tc>
          <w:tcPr>
            <w:tcW w:w="1500" w:type="dxa"/>
            <w:shd w:val="clear" w:fill="FFFFFF"/>
            <w:tcMar>
              <w:top w:w="80" w:type="dxa"/>
              <w:bottom w:w="80" w:type="dxa"/>
              <w:left w:w="110" w:type="dxa"/>
              <w:right w:w="110" w:type="dxa"/>
            </w:tcMar>
          </w:tcPr>
          <w:p>
            <w:pPr>
              <w:pStyle w:val="Cell"/>
            </w:pPr>
            <w:r>
              <w:rPr>
                <w:sz w:val="19"/>
                <w:color w:val="3D382F"/>
              </w:rPr>
              <w:t xml:space="preserve">Approval</w:t>
            </w:r>
          </w:p>
        </w:tc>
        <w:tc>
          <w:tcPr>
            <w:tcW w:w="3038" w:type="dxa"/>
            <w:shd w:val="clear" w:fill="FFFFFF"/>
            <w:tcMar>
              <w:top w:w="80" w:type="dxa"/>
              <w:bottom w:w="80" w:type="dxa"/>
              <w:left w:w="110" w:type="dxa"/>
              <w:right w:w="110" w:type="dxa"/>
            </w:tcMar>
          </w:tcPr>
          <w:p>
            <w:pPr>
              <w:pStyle w:val="Cell"/>
            </w:pPr>
            <w:r>
              <w:rPr>
                <w:sz w:val="19"/>
                <w:color w:val="3D382F"/>
              </w:rPr>
              <w:t xml:space="preserve">Deposit 40%</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Alhambra</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100</w:t>
            </w:r>
          </w:p>
        </w:tc>
        <w:tc>
          <w:tcPr>
            <w:tcW w:w="900" w:type="dxa"/>
            <w:shd w:val="clear" w:fill="FFFFFF"/>
            <w:tcMar>
              <w:top w:w="80" w:type="dxa"/>
              <w:bottom w:w="80" w:type="dxa"/>
              <w:left w:w="110" w:type="dxa"/>
              <w:right w:w="110" w:type="dxa"/>
            </w:tcMar>
          </w:tcPr>
          <w:p>
            <w:pPr>
              <w:pStyle w:val="Cell"/>
            </w:pPr>
            <w:r>
              <w:rPr>
                <w:sz w:val="19"/>
                <w:color w:val="3D382F"/>
              </w:rPr>
              <w:t xml:space="preserve">Day</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R14 000</w:t>
            </w:r>
          </w:p>
        </w:tc>
        <w:tc>
          <w:tcPr>
            <w:tcW w:w="1500" w:type="dxa"/>
            <w:shd w:val="clear" w:fill="FFFFFF"/>
            <w:tcMar>
              <w:top w:w="80" w:type="dxa"/>
              <w:bottom w:w="80" w:type="dxa"/>
              <w:left w:w="110" w:type="dxa"/>
              <w:right w:w="110" w:type="dxa"/>
            </w:tcMar>
          </w:tcPr>
          <w:p>
            <w:pPr>
              <w:pStyle w:val="Cell"/>
            </w:pPr>
            <w:r>
              <w:rPr>
                <w:sz w:val="19"/>
                <w:color w:val="3D382F"/>
              </w:rPr>
              <w:t xml:space="preserve">Approval</w:t>
            </w:r>
          </w:p>
        </w:tc>
        <w:tc>
          <w:tcPr>
            <w:tcW w:w="3038" w:type="dxa"/>
            <w:shd w:val="clear" w:fill="FFFFFF"/>
            <w:tcMar>
              <w:top w:w="80" w:type="dxa"/>
              <w:bottom w:w="80" w:type="dxa"/>
              <w:left w:w="110" w:type="dxa"/>
              <w:right w:w="110" w:type="dxa"/>
            </w:tcMar>
          </w:tcPr>
          <w:p>
            <w:pPr>
              <w:pStyle w:val="Cell"/>
            </w:pPr>
            <w:r>
              <w:rPr>
                <w:sz w:val="19"/>
                <w:color w:val="3D382F"/>
              </w:rPr>
              <w:t xml:space="preserve">Deposit 40%</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VIP Room</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10</w:t>
            </w:r>
          </w:p>
        </w:tc>
        <w:tc>
          <w:tcPr>
            <w:tcW w:w="900" w:type="dxa"/>
            <w:shd w:val="clear" w:fill="FFFFFF"/>
            <w:tcMar>
              <w:top w:w="80" w:type="dxa"/>
              <w:bottom w:w="80" w:type="dxa"/>
              <w:left w:w="110" w:type="dxa"/>
              <w:right w:w="110" w:type="dxa"/>
            </w:tcMar>
          </w:tcPr>
          <w:p>
            <w:pPr>
              <w:pStyle w:val="Cell"/>
            </w:pPr>
            <w:r>
              <w:rPr>
                <w:sz w:val="19"/>
                <w:color w:val="3D382F"/>
              </w:rPr>
              <w:t xml:space="preserve">Day</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R4 000</w:t>
            </w:r>
          </w:p>
        </w:tc>
        <w:tc>
          <w:tcPr>
            <w:tcW w:w="1500" w:type="dxa"/>
            <w:shd w:val="clear" w:fill="FFFFFF"/>
            <w:tcMar>
              <w:top w:w="80" w:type="dxa"/>
              <w:bottom w:w="80" w:type="dxa"/>
              <w:left w:w="110" w:type="dxa"/>
              <w:right w:w="110" w:type="dxa"/>
            </w:tcMar>
          </w:tcPr>
          <w:p>
            <w:pPr>
              <w:pStyle w:val="Cell"/>
            </w:pPr>
            <w:r>
              <w:rPr>
                <w:sz w:val="19"/>
                <w:color w:val="3D382F"/>
              </w:rPr>
              <w:t xml:space="preserve">Approval</w:t>
            </w:r>
          </w:p>
        </w:tc>
        <w:tc>
          <w:tcPr>
            <w:tcW w:w="3038" w:type="dxa"/>
            <w:shd w:val="clear" w:fill="FFFFFF"/>
            <w:tcMar>
              <w:top w:w="80" w:type="dxa"/>
              <w:bottom w:w="80" w:type="dxa"/>
              <w:left w:w="110" w:type="dxa"/>
              <w:right w:w="110" w:type="dxa"/>
            </w:tcMar>
          </w:tcPr>
          <w:p>
            <w:pPr>
              <w:pStyle w:val="Cell"/>
            </w:pPr>
            <w:r>
              <w:rPr>
                <w:sz w:val="19"/>
                <w:color w:val="3D382F"/>
              </w:rPr>
              <w:t xml:space="preserve">Full upfront</w:t>
            </w:r>
          </w:p>
        </w:tc>
      </w:tr>
      <w:tr>
        <w:tc>
          <w:tcPr>
            <w:tcW w:w="9638" w:type="dxa"/>
            <w:gridSpan w:val="6"/>
            <w:shd w:val="clear" w:fill="FFFFFF"/>
            <w:tcMar>
              <w:top w:w="120" w:type="dxa"/>
              <w:bottom w:w="60" w:type="dxa"/>
              <w:left w:w="110" w:type="dxa"/>
            </w:tcMar>
          </w:tcPr>
          <w:p>
            <w:pPr>
              <w:pStyle w:val="Cell"/>
            </w:pPr>
            <w:r>
              <w:rPr>
                <w:b/>
                <w:caps/>
                <w:sz w:val="17"/>
                <w:color w:val="8A1538"/>
              </w:rPr>
              <w:t xml:space="preserve">Rehearsal venues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Room 503</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120</w:t>
            </w:r>
          </w:p>
        </w:tc>
        <w:tc>
          <w:tcPr>
            <w:tcW w:w="900" w:type="dxa"/>
            <w:shd w:val="clear" w:fill="FFFFFF"/>
            <w:tcMar>
              <w:top w:w="80" w:type="dxa"/>
              <w:bottom w:w="80" w:type="dxa"/>
              <w:left w:w="110" w:type="dxa"/>
              <w:right w:w="110" w:type="dxa"/>
            </w:tcMar>
          </w:tcPr>
          <w:p>
            <w:pPr>
              <w:pStyle w:val="Cell"/>
            </w:pPr>
            <w:r>
              <w:rPr>
                <w:sz w:val="19"/>
                <w:color w:val="3D382F"/>
              </w:rPr>
              <w:t xml:space="preserve">Hour</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R390</w:t>
            </w:r>
          </w:p>
        </w:tc>
        <w:tc>
          <w:tcPr>
            <w:tcW w:w="1500" w:type="dxa"/>
            <w:shd w:val="clear" w:fill="FFFFFF"/>
            <w:tcMar>
              <w:top w:w="80" w:type="dxa"/>
              <w:bottom w:w="80" w:type="dxa"/>
              <w:left w:w="110" w:type="dxa"/>
              <w:right w:w="110" w:type="dxa"/>
            </w:tcMar>
          </w:tcPr>
          <w:p>
            <w:pPr>
              <w:pStyle w:val="Cell"/>
            </w:pPr>
            <w:r>
              <w:rPr>
                <w:sz w:val="19"/>
                <w:color w:val="3D382F"/>
              </w:rPr>
              <w:t xml:space="preserve">Instant</w:t>
            </w:r>
          </w:p>
        </w:tc>
        <w:tc>
          <w:tcPr>
            <w:tcW w:w="3038" w:type="dxa"/>
            <w:shd w:val="clear" w:fill="FFFFFF"/>
            <w:tcMar>
              <w:top w:w="80" w:type="dxa"/>
              <w:bottom w:w="80" w:type="dxa"/>
              <w:left w:w="110" w:type="dxa"/>
              <w:right w:w="110" w:type="dxa"/>
            </w:tcMar>
          </w:tcPr>
          <w:p>
            <w:pPr>
              <w:pStyle w:val="Cell"/>
            </w:pPr>
            <w:r>
              <w:rPr>
                <w:sz w:val="19"/>
                <w:color w:val="3D382F"/>
              </w:rPr>
              <w:t xml:space="preserve">Full upfront</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Room 410</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60</w:t>
            </w:r>
          </w:p>
        </w:tc>
        <w:tc>
          <w:tcPr>
            <w:tcW w:w="900" w:type="dxa"/>
            <w:shd w:val="clear" w:fill="FFFFFF"/>
            <w:tcMar>
              <w:top w:w="80" w:type="dxa"/>
              <w:bottom w:w="80" w:type="dxa"/>
              <w:left w:w="110" w:type="dxa"/>
              <w:right w:w="110" w:type="dxa"/>
            </w:tcMar>
          </w:tcPr>
          <w:p>
            <w:pPr>
              <w:pStyle w:val="Cell"/>
            </w:pPr>
            <w:r>
              <w:rPr>
                <w:sz w:val="19"/>
                <w:color w:val="3D382F"/>
              </w:rPr>
              <w:t xml:space="preserve">Hour</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R340</w:t>
            </w:r>
          </w:p>
        </w:tc>
        <w:tc>
          <w:tcPr>
            <w:tcW w:w="1500" w:type="dxa"/>
            <w:shd w:val="clear" w:fill="FFFFFF"/>
            <w:tcMar>
              <w:top w:w="80" w:type="dxa"/>
              <w:bottom w:w="80" w:type="dxa"/>
              <w:left w:w="110" w:type="dxa"/>
              <w:right w:w="110" w:type="dxa"/>
            </w:tcMar>
          </w:tcPr>
          <w:p>
            <w:pPr>
              <w:pStyle w:val="Cell"/>
            </w:pPr>
            <w:r>
              <w:rPr>
                <w:sz w:val="19"/>
                <w:color w:val="3D382F"/>
              </w:rPr>
              <w:t xml:space="preserve">Instant</w:t>
            </w:r>
          </w:p>
        </w:tc>
        <w:tc>
          <w:tcPr>
            <w:tcW w:w="3038" w:type="dxa"/>
            <w:shd w:val="clear" w:fill="FFFFFF"/>
            <w:tcMar>
              <w:top w:w="80" w:type="dxa"/>
              <w:bottom w:w="80" w:type="dxa"/>
              <w:left w:w="110" w:type="dxa"/>
              <w:right w:w="110" w:type="dxa"/>
            </w:tcMar>
          </w:tcPr>
          <w:p>
            <w:pPr>
              <w:pStyle w:val="Cell"/>
            </w:pPr>
            <w:r>
              <w:rPr>
                <w:sz w:val="19"/>
                <w:color w:val="3D382F"/>
              </w:rPr>
              <w:t xml:space="preserve">Full upfront</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Room A1</w:t>
            </w:r>
          </w:p>
        </w:tc>
        <w:tc>
          <w:tcPr>
            <w:tcW w:w="1000" w:type="dxa"/>
            <w:shd w:val="clear" w:fill="FFFFFF"/>
            <w:tcMar>
              <w:top w:w="80" w:type="dxa"/>
              <w:bottom w:w="80" w:type="dxa"/>
              <w:left w:w="110" w:type="dxa"/>
              <w:right w:w="110" w:type="dxa"/>
            </w:tcMar>
          </w:tcPr>
          <w:p>
            <w:pPr>
              <w:pStyle w:val="Cell"/>
              <w:jc w:val="right"/>
            </w:pPr>
            <w:r>
              <w:rPr>
                <w:sz w:val="19"/>
                <w:color w:val="3D382F"/>
              </w:rPr>
              <w:t xml:space="preserve">60</w:t>
            </w:r>
          </w:p>
        </w:tc>
        <w:tc>
          <w:tcPr>
            <w:tcW w:w="900" w:type="dxa"/>
            <w:shd w:val="clear" w:fill="FFFFFF"/>
            <w:tcMar>
              <w:top w:w="80" w:type="dxa"/>
              <w:bottom w:w="80" w:type="dxa"/>
              <w:left w:w="110" w:type="dxa"/>
              <w:right w:w="110" w:type="dxa"/>
            </w:tcMar>
          </w:tcPr>
          <w:p>
            <w:pPr>
              <w:pStyle w:val="Cell"/>
            </w:pPr>
            <w:r>
              <w:rPr>
                <w:sz w:val="19"/>
                <w:color w:val="3D382F"/>
              </w:rPr>
              <w:t xml:space="preserve">Hour</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R260</w:t>
            </w:r>
          </w:p>
        </w:tc>
        <w:tc>
          <w:tcPr>
            <w:tcW w:w="1500" w:type="dxa"/>
            <w:shd w:val="clear" w:fill="FFFFFF"/>
            <w:tcMar>
              <w:top w:w="80" w:type="dxa"/>
              <w:bottom w:w="80" w:type="dxa"/>
              <w:left w:w="110" w:type="dxa"/>
              <w:right w:w="110" w:type="dxa"/>
            </w:tcMar>
          </w:tcPr>
          <w:p>
            <w:pPr>
              <w:pStyle w:val="Cell"/>
            </w:pPr>
            <w:r>
              <w:rPr>
                <w:sz w:val="19"/>
                <w:color w:val="3D382F"/>
              </w:rPr>
              <w:t xml:space="preserve">Instant</w:t>
            </w:r>
          </w:p>
        </w:tc>
        <w:tc>
          <w:tcPr>
            <w:tcW w:w="3038" w:type="dxa"/>
            <w:shd w:val="clear" w:fill="FFFFFF"/>
            <w:tcMar>
              <w:top w:w="80" w:type="dxa"/>
              <w:bottom w:w="80" w:type="dxa"/>
              <w:left w:w="110" w:type="dxa"/>
              <w:right w:w="110" w:type="dxa"/>
            </w:tcMar>
          </w:tcPr>
          <w:p>
            <w:pPr>
              <w:pStyle w:val="Cell"/>
            </w:pPr>
            <w:r>
              <w:rPr>
                <w:sz w:val="19"/>
                <w:color w:val="3D382F"/>
              </w:rPr>
              <w:t xml:space="preserve">Full upfront</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Rooms 506 / 507 / 508</w:t>
            </w:r>
          </w:p>
        </w:tc>
        <w:tc>
          <w:tcPr>
            <w:tcW w:w="1000" w:type="dxa"/>
            <w:shd w:val="clear" w:fill="FFFFFF"/>
            <w:tcMar>
              <w:top w:w="80" w:type="dxa"/>
              <w:bottom w:w="80" w:type="dxa"/>
              <w:left w:w="110" w:type="dxa"/>
              <w:right w:w="110" w:type="dxa"/>
            </w:tcMar>
          </w:tcPr>
          <w:p>
            <w:pPr>
              <w:pStyle w:val="Cell"/>
            </w:pPr>
            <w:r>
              <w:rPr>
                <w:sz w:val="19"/>
                <w:color w:val="3D382F"/>
              </w:rPr>
              <w:t xml:space="preserve">—</w:t>
            </w:r>
          </w:p>
        </w:tc>
        <w:tc>
          <w:tcPr>
            <w:tcW w:w="900" w:type="dxa"/>
            <w:shd w:val="clear" w:fill="FFFFFF"/>
            <w:tcMar>
              <w:top w:w="80" w:type="dxa"/>
              <w:bottom w:w="80" w:type="dxa"/>
              <w:left w:w="110" w:type="dxa"/>
              <w:right w:w="110" w:type="dxa"/>
            </w:tcMar>
          </w:tcPr>
          <w:p>
            <w:pPr>
              <w:pStyle w:val="Cell"/>
            </w:pPr>
            <w:r>
              <w:rPr>
                <w:sz w:val="19"/>
                <w:color w:val="3D382F"/>
              </w:rPr>
              <w:t xml:space="preserve">Hour</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R110</w:t>
            </w:r>
          </w:p>
        </w:tc>
        <w:tc>
          <w:tcPr>
            <w:tcW w:w="1500" w:type="dxa"/>
            <w:shd w:val="clear" w:fill="FFFFFF"/>
            <w:tcMar>
              <w:top w:w="80" w:type="dxa"/>
              <w:bottom w:w="80" w:type="dxa"/>
              <w:left w:w="110" w:type="dxa"/>
              <w:right w:w="110" w:type="dxa"/>
            </w:tcMar>
          </w:tcPr>
          <w:p>
            <w:pPr>
              <w:pStyle w:val="Cell"/>
            </w:pPr>
            <w:r>
              <w:rPr>
                <w:sz w:val="19"/>
                <w:color w:val="3D382F"/>
              </w:rPr>
              <w:t xml:space="preserve">Instant</w:t>
            </w:r>
          </w:p>
        </w:tc>
        <w:tc>
          <w:tcPr>
            <w:tcW w:w="3038" w:type="dxa"/>
            <w:shd w:val="clear" w:fill="FFFFFF"/>
            <w:tcMar>
              <w:top w:w="80" w:type="dxa"/>
              <w:bottom w:w="80" w:type="dxa"/>
              <w:left w:w="110" w:type="dxa"/>
              <w:right w:w="110" w:type="dxa"/>
            </w:tcMar>
          </w:tcPr>
          <w:p>
            <w:pPr>
              <w:pStyle w:val="Cell"/>
            </w:pPr>
            <w:r>
              <w:rPr>
                <w:sz w:val="19"/>
                <w:color w:val="3D382F"/>
              </w:rPr>
              <w:t xml:space="preserve">Full upfront</w:t>
            </w:r>
          </w:p>
        </w:tc>
      </w:tr>
      <w:tr>
        <w:tc>
          <w:tcPr>
            <w:tcW w:w="9638" w:type="dxa"/>
            <w:gridSpan w:val="6"/>
            <w:shd w:val="clear" w:fill="FFFFFF"/>
            <w:tcMar>
              <w:top w:w="120" w:type="dxa"/>
              <w:bottom w:w="60" w:type="dxa"/>
              <w:left w:w="110" w:type="dxa"/>
            </w:tcMar>
          </w:tcPr>
          <w:p>
            <w:pPr>
              <w:pStyle w:val="Cell"/>
            </w:pPr>
            <w:r>
              <w:rPr>
                <w:b/>
                <w:caps/>
                <w:sz w:val="17"/>
                <w:color w:val="8A1538"/>
              </w:rPr>
              <w:t xml:space="preserve">Recording studio</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Studio 3</w:t>
            </w:r>
          </w:p>
        </w:tc>
        <w:tc>
          <w:tcPr>
            <w:tcW w:w="1000" w:type="dxa"/>
            <w:shd w:val="clear" w:fill="FFFFFF"/>
            <w:tcMar>
              <w:top w:w="80" w:type="dxa"/>
              <w:bottom w:w="80" w:type="dxa"/>
              <w:left w:w="110" w:type="dxa"/>
              <w:right w:w="110" w:type="dxa"/>
            </w:tcMar>
          </w:tcPr>
          <w:p>
            <w:pPr>
              <w:pStyle w:val="Cell"/>
            </w:pPr>
            <w:r>
              <w:rPr>
                <w:sz w:val="19"/>
                <w:color w:val="3D382F"/>
              </w:rPr>
              <w:t xml:space="preserve">—</w:t>
            </w:r>
          </w:p>
        </w:tc>
        <w:tc>
          <w:tcPr>
            <w:tcW w:w="900" w:type="dxa"/>
            <w:shd w:val="clear" w:fill="FFFFFF"/>
            <w:tcMar>
              <w:top w:w="80" w:type="dxa"/>
              <w:bottom w:w="80" w:type="dxa"/>
              <w:left w:w="110" w:type="dxa"/>
              <w:right w:w="110" w:type="dxa"/>
            </w:tcMar>
          </w:tcPr>
          <w:p>
            <w:pPr>
              <w:pStyle w:val="Cell"/>
            </w:pPr>
            <w:r>
              <w:rPr>
                <w:sz w:val="19"/>
                <w:color w:val="3D382F"/>
              </w:rPr>
              <w:t xml:space="preserve">Hour</w:t>
            </w:r>
          </w:p>
        </w:tc>
        <w:tc>
          <w:tcPr>
            <w:tcW w:w="1100" w:type="dxa"/>
            <w:shd w:val="clear" w:fill="FFFFFF"/>
            <w:tcMar>
              <w:top w:w="80" w:type="dxa"/>
              <w:bottom w:w="80" w:type="dxa"/>
              <w:left w:w="110" w:type="dxa"/>
              <w:right w:w="110" w:type="dxa"/>
            </w:tcMar>
          </w:tcPr>
          <w:p>
            <w:pPr>
              <w:pStyle w:val="Cell"/>
              <w:jc w:val="right"/>
            </w:pPr>
            <w:r>
              <w:rPr>
                <w:sz w:val="19"/>
                <w:color w:val="3D382F"/>
              </w:rPr>
              <w:t xml:space="preserve">R650</w:t>
            </w:r>
          </w:p>
        </w:tc>
        <w:tc>
          <w:tcPr>
            <w:tcW w:w="1500" w:type="dxa"/>
            <w:shd w:val="clear" w:fill="FFFFFF"/>
            <w:tcMar>
              <w:top w:w="80" w:type="dxa"/>
              <w:bottom w:w="80" w:type="dxa"/>
              <w:left w:w="110" w:type="dxa"/>
              <w:right w:w="110" w:type="dxa"/>
            </w:tcMar>
          </w:tcPr>
          <w:p>
            <w:pPr>
              <w:pStyle w:val="Cell"/>
            </w:pPr>
            <w:r>
              <w:rPr>
                <w:sz w:val="19"/>
                <w:color w:val="3D382F"/>
              </w:rPr>
              <w:t xml:space="preserve">Instant</w:t>
            </w:r>
          </w:p>
        </w:tc>
        <w:tc>
          <w:tcPr>
            <w:tcW w:w="3038" w:type="dxa"/>
            <w:shd w:val="clear" w:fill="FFFFFF"/>
            <w:tcMar>
              <w:top w:w="80" w:type="dxa"/>
              <w:bottom w:w="80" w:type="dxa"/>
              <w:left w:w="110" w:type="dxa"/>
              <w:right w:w="110" w:type="dxa"/>
            </w:tcMar>
          </w:tcPr>
          <w:p>
            <w:pPr>
              <w:pStyle w:val="Cell"/>
            </w:pPr>
            <w:r>
              <w:rPr>
                <w:sz w:val="19"/>
                <w:color w:val="3D382F"/>
              </w:rPr>
              <w:t xml:space="preserve">Full upfront</w:t>
            </w:r>
          </w:p>
        </w:tc>
      </w:tr>
    </w:tbl>
    <w:p>
      <w:pPr>
        <w:pStyle w:val="Caption"/>
      </w:pPr>
      <w:r>
        <w:t xml:space="preserve">All rates VAT-inclusive. Capacity is not yet captured for four venues.</w:t>
      </w:r>
    </w:p>
    <w:p>
      <w:pPr>
        <w:pStyle w:val="Note"/>
      </w:pPr>
      <w:r>
        <w:rPr>
          <w:b/>
        </w:rPr>
        <w:t xml:space="preserve">Worth making a point of.</w:t>
      </w:r>
      <w:r>
        <w:t xml:space="preserve"> Double bookings are prevented by the database itself, not by application checks that can race under load. Turnaround buffers before and after each hire are enforced the same way, so a venue cannot be sold twice even if two customers press pay at the same instant.</w:t>
      </w:r>
    </w:p>
    <w:p>
      <w:pPr>
        <w:pStyle w:val="Heading1"/>
      </w:pPr>
      <w:r>
        <w:t xml:space="preserve">Commercial dependency — payments</w:t>
      </w:r>
    </w:p>
    <w:p>
      <w:pPr>
        <w:pStyle w:val="Body"/>
      </w:pPr>
      <w:r>
        <w:t xml:space="preserve">All four South African gateways named in the RFP are implemented. Switching between them is a configuration change, not development work, so the choice can be deferred until merchant accounts are settled. None has been tested against live credentials, because none exist yet.</w:t>
      </w:r>
    </w:p>
    <w:tbl>
      <w:tblPr>
        <w:tblW w:w="9638" w:type="dxa"/>
        <w:tblBorders>
          <w:top w:val="single" w:sz="4" w:space="0" w:color="DED4C6"/>
          <w:left w:val="single" w:sz="4" w:space="0" w:color="DED4C6"/>
          <w:bottom w:val="single" w:sz="4" w:space="0" w:color="DED4C6"/>
          <w:right w:val="single" w:sz="4" w:space="0" w:color="DED4C6"/>
          <w:insideH w:val="single" w:sz="4" w:space="0" w:color="DED4C6"/>
          <w:insideV w:val="single" w:sz="4" w:space="0" w:color="DED4C6"/>
        </w:tblBorders>
        <w:tblLayout w:type="fixed"/>
      </w:tblPr>
      <w:tblGrid>
        <w:gridCol w:w="2100"/>
        <w:gridCol w:w="3900"/>
        <w:gridCol w:w="3638"/>
      </w:tblGrid>
      <w:tr>
        <w:trPr>
          <w:tblHeader/>
        </w:trPr>
        <w:tc>
          <w:tcPr>
            <w:tcW w:w="2100" w:type="dxa"/>
            <w:shd w:val="clear" w:fill="F1ECE3"/>
            <w:tcMar>
              <w:top w:w="80" w:type="dxa"/>
              <w:bottom w:w="80" w:type="dxa"/>
              <w:left w:w="110" w:type="dxa"/>
              <w:right w:w="110" w:type="dxa"/>
            </w:tcMar>
          </w:tcPr>
          <w:p>
            <w:pPr>
              <w:pStyle w:val="Cell"/>
            </w:pPr>
            <w:r>
              <w:rPr>
                <w:b/>
                <w:color w:val="6B6357"/>
                <w:sz w:val="16"/>
                <w:caps/>
              </w:rPr>
              <w:t xml:space="preserve">Gateway</w:t>
            </w:r>
          </w:p>
        </w:tc>
        <w:tc>
          <w:tcPr>
            <w:tcW w:w="3900" w:type="dxa"/>
            <w:shd w:val="clear" w:fill="F1ECE3"/>
            <w:tcMar>
              <w:top w:w="80" w:type="dxa"/>
              <w:bottom w:w="80" w:type="dxa"/>
              <w:left w:w="110" w:type="dxa"/>
              <w:right w:w="110" w:type="dxa"/>
            </w:tcMar>
          </w:tcPr>
          <w:p>
            <w:pPr>
              <w:pStyle w:val="Cell"/>
            </w:pPr>
            <w:r>
              <w:rPr>
                <w:b/>
                <w:color w:val="6B6357"/>
                <w:sz w:val="16"/>
                <w:caps/>
              </w:rPr>
              <w:t xml:space="preserve">Position</w:t>
            </w:r>
          </w:p>
        </w:tc>
        <w:tc>
          <w:tcPr>
            <w:tcW w:w="3638" w:type="dxa"/>
            <w:shd w:val="clear" w:fill="F1ECE3"/>
            <w:tcMar>
              <w:top w:w="80" w:type="dxa"/>
              <w:bottom w:w="80" w:type="dxa"/>
              <w:left w:w="110" w:type="dxa"/>
              <w:right w:w="110" w:type="dxa"/>
            </w:tcMar>
          </w:tcPr>
          <w:p>
            <w:pPr>
              <w:pStyle w:val="Cell"/>
            </w:pPr>
            <w:r>
              <w:rPr>
                <w:b/>
                <w:color w:val="6B6357"/>
                <w:sz w:val="16"/>
                <w:caps/>
              </w:rPr>
              <w:t xml:space="preserve">Status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PayFast</w:t>
            </w:r>
          </w:p>
        </w:tc>
        <w:tc>
          <w:tcPr>
            <w:tcW w:w="3900" w:type="dxa"/>
            <w:shd w:val="clear" w:fill="FFFFFF"/>
            <w:tcMar>
              <w:top w:w="80" w:type="dxa"/>
              <w:bottom w:w="80" w:type="dxa"/>
              <w:left w:w="110" w:type="dxa"/>
              <w:right w:w="110" w:type="dxa"/>
            </w:tcMar>
          </w:tcPr>
          <w:p>
            <w:pPr>
              <w:pStyle w:val="Cell"/>
            </w:pPr>
            <w:r>
              <w:rPr>
                <w:sz w:val="19"/>
                <w:color w:val="3D382F"/>
              </w:rPr>
              <w:t xml:space="preserve">Production candidate</w:t>
            </w:r>
          </w:p>
        </w:tc>
        <w:tc>
          <w:tcPr>
            <w:tcW w:w="3638" w:type="dxa"/>
            <w:shd w:val="clear" w:fill="FFFFFF"/>
            <w:tcMar>
              <w:top w:w="80" w:type="dxa"/>
              <w:bottom w:w="80" w:type="dxa"/>
              <w:left w:w="110" w:type="dxa"/>
              <w:right w:w="110" w:type="dxa"/>
            </w:tcMar>
          </w:tcPr>
          <w:p>
            <w:pPr>
              <w:pStyle w:val="Cell"/>
            </w:pPr>
            <w:r>
              <w:rPr>
                <w:sz w:val="19"/>
                <w:color w:val="3D382F"/>
              </w:rPr>
              <w:t xml:space="preserve">Awaiting credentials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Yoco</w:t>
            </w:r>
          </w:p>
        </w:tc>
        <w:tc>
          <w:tcPr>
            <w:tcW w:w="3900" w:type="dxa"/>
            <w:shd w:val="clear" w:fill="FFFFFF"/>
            <w:tcMar>
              <w:top w:w="80" w:type="dxa"/>
              <w:bottom w:w="80" w:type="dxa"/>
              <w:left w:w="110" w:type="dxa"/>
              <w:right w:w="110" w:type="dxa"/>
            </w:tcMar>
          </w:tcPr>
          <w:p>
            <w:pPr>
              <w:pStyle w:val="Cell"/>
            </w:pPr>
            <w:r>
              <w:rPr>
                <w:sz w:val="19"/>
                <w:color w:val="3D382F"/>
              </w:rPr>
              <w:t xml:space="preserve">Production candidate</w:t>
            </w:r>
          </w:p>
        </w:tc>
        <w:tc>
          <w:tcPr>
            <w:tcW w:w="3638" w:type="dxa"/>
            <w:shd w:val="clear" w:fill="FFFFFF"/>
            <w:tcMar>
              <w:top w:w="80" w:type="dxa"/>
              <w:bottom w:w="80" w:type="dxa"/>
              <w:left w:w="110" w:type="dxa"/>
              <w:right w:w="110" w:type="dxa"/>
            </w:tcMar>
          </w:tcPr>
          <w:p>
            <w:pPr>
              <w:pStyle w:val="Cell"/>
            </w:pPr>
            <w:r>
              <w:rPr>
                <w:sz w:val="19"/>
                <w:color w:val="3D382F"/>
              </w:rPr>
              <w:t xml:space="preserve">Awaiting credentials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Paystack</w:t>
            </w:r>
          </w:p>
        </w:tc>
        <w:tc>
          <w:tcPr>
            <w:tcW w:w="3900" w:type="dxa"/>
            <w:shd w:val="clear" w:fill="FFFFFF"/>
            <w:tcMar>
              <w:top w:w="80" w:type="dxa"/>
              <w:bottom w:w="80" w:type="dxa"/>
              <w:left w:w="110" w:type="dxa"/>
              <w:right w:w="110" w:type="dxa"/>
            </w:tcMar>
          </w:tcPr>
          <w:p>
            <w:pPr>
              <w:pStyle w:val="Cell"/>
            </w:pPr>
            <w:r>
              <w:rPr>
                <w:sz w:val="19"/>
                <w:color w:val="3D382F"/>
              </w:rPr>
              <w:t xml:space="preserve">Production candidate</w:t>
            </w:r>
          </w:p>
        </w:tc>
        <w:tc>
          <w:tcPr>
            <w:tcW w:w="3638" w:type="dxa"/>
            <w:shd w:val="clear" w:fill="FFFFFF"/>
            <w:tcMar>
              <w:top w:w="80" w:type="dxa"/>
              <w:bottom w:w="80" w:type="dxa"/>
              <w:left w:w="110" w:type="dxa"/>
              <w:right w:w="110" w:type="dxa"/>
            </w:tcMar>
          </w:tcPr>
          <w:p>
            <w:pPr>
              <w:pStyle w:val="Cell"/>
            </w:pPr>
            <w:r>
              <w:rPr>
                <w:sz w:val="19"/>
                <w:color w:val="3D382F"/>
              </w:rPr>
              <w:t xml:space="preserve">Awaiting credentials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iKhokha</w:t>
            </w:r>
          </w:p>
        </w:tc>
        <w:tc>
          <w:tcPr>
            <w:tcW w:w="3900" w:type="dxa"/>
            <w:shd w:val="clear" w:fill="FFFFFF"/>
            <w:tcMar>
              <w:top w:w="80" w:type="dxa"/>
              <w:bottom w:w="80" w:type="dxa"/>
              <w:left w:w="110" w:type="dxa"/>
              <w:right w:w="110" w:type="dxa"/>
            </w:tcMar>
          </w:tcPr>
          <w:p>
            <w:pPr>
              <w:pStyle w:val="Cell"/>
            </w:pPr>
            <w:r>
              <w:rPr>
                <w:sz w:val="19"/>
                <w:color w:val="3D382F"/>
              </w:rPr>
              <w:t xml:space="preserve">Production candidate</w:t>
            </w:r>
          </w:p>
        </w:tc>
        <w:tc>
          <w:tcPr>
            <w:tcW w:w="3638" w:type="dxa"/>
            <w:shd w:val="clear" w:fill="FFFFFF"/>
            <w:tcMar>
              <w:top w:w="80" w:type="dxa"/>
              <w:bottom w:w="80" w:type="dxa"/>
              <w:left w:w="110" w:type="dxa"/>
              <w:right w:w="110" w:type="dxa"/>
            </w:tcMar>
          </w:tcPr>
          <w:p>
            <w:pPr>
              <w:pStyle w:val="Cell"/>
            </w:pPr>
            <w:r>
              <w:rPr>
                <w:sz w:val="19"/>
                <w:color w:val="3D382F"/>
              </w:rPr>
              <w:t xml:space="preserve">Awaiting credentials</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EFT</w:t>
            </w:r>
          </w:p>
        </w:tc>
        <w:tc>
          <w:tcPr>
            <w:tcW w:w="3900" w:type="dxa"/>
            <w:shd w:val="clear" w:fill="FFFFFF"/>
            <w:tcMar>
              <w:top w:w="80" w:type="dxa"/>
              <w:bottom w:w="80" w:type="dxa"/>
              <w:left w:w="110" w:type="dxa"/>
              <w:right w:w="110" w:type="dxa"/>
            </w:tcMar>
          </w:tcPr>
          <w:p>
            <w:pPr>
              <w:pStyle w:val="Cell"/>
            </w:pPr>
            <w:r>
              <w:rPr>
                <w:sz w:val="19"/>
                <w:color w:val="3D382F"/>
              </w:rPr>
              <w:t xml:space="preserve">Manual capture by finance</w:t>
            </w:r>
          </w:p>
        </w:tc>
        <w:tc>
          <w:tcPr>
            <w:tcW w:w="3638" w:type="dxa"/>
            <w:shd w:val="clear" w:fill="FFFFFF"/>
            <w:tcMar>
              <w:top w:w="80" w:type="dxa"/>
              <w:bottom w:w="80" w:type="dxa"/>
              <w:left w:w="110" w:type="dxa"/>
              <w:right w:w="110" w:type="dxa"/>
            </w:tcMar>
          </w:tcPr>
          <w:p>
            <w:pPr>
              <w:pStyle w:val="Cell"/>
            </w:pPr>
            <w:r>
              <w:rPr>
                <w:sz w:val="19"/>
                <w:color w:val="3D382F"/>
              </w:rPr>
              <w:t xml:space="preserve">Working</w:t>
            </w:r>
          </w:p>
        </w:tc>
      </w:tr>
      <w:tr>
        <w:tc>
          <w:tcPr>
            <w:tcW w:w="2100" w:type="dxa"/>
            <w:shd w:val="clear" w:fill="FFFFFF"/>
            <w:tcMar>
              <w:top w:w="80" w:type="dxa"/>
              <w:bottom w:w="80" w:type="dxa"/>
              <w:left w:w="110" w:type="dxa"/>
              <w:right w:w="110" w:type="dxa"/>
            </w:tcMar>
          </w:tcPr>
          <w:p>
            <w:pPr>
              <w:pStyle w:val="Cell"/>
            </w:pPr>
            <w:r>
              <w:rPr>
                <w:sz w:val="19"/>
                <w:color w:val="3D382F"/>
                <w:b/>
                <w:color w:val="1F1C18"/>
              </w:rPr>
              <w:t xml:space="preserve">Stripe</w:t>
            </w:r>
          </w:p>
        </w:tc>
        <w:tc>
          <w:tcPr>
            <w:tcW w:w="3900" w:type="dxa"/>
            <w:shd w:val="clear" w:fill="FFFFFF"/>
            <w:tcMar>
              <w:top w:w="80" w:type="dxa"/>
              <w:bottom w:w="80" w:type="dxa"/>
              <w:left w:w="110" w:type="dxa"/>
              <w:right w:w="110" w:type="dxa"/>
            </w:tcMar>
          </w:tcPr>
          <w:p>
            <w:pPr>
              <w:pStyle w:val="Cell"/>
            </w:pPr>
            <w:r>
              <w:rPr>
                <w:sz w:val="19"/>
                <w:color w:val="3D382F"/>
              </w:rPr>
              <w:t xml:space="preserve">Demonstration only — not proposed</w:t>
            </w:r>
          </w:p>
        </w:tc>
        <w:tc>
          <w:tcPr>
            <w:tcW w:w="3638" w:type="dxa"/>
            <w:shd w:val="clear" w:fill="FFFFFF"/>
            <w:tcMar>
              <w:top w:w="80" w:type="dxa"/>
              <w:bottom w:w="80" w:type="dxa"/>
              <w:left w:w="110" w:type="dxa"/>
              <w:right w:w="110" w:type="dxa"/>
            </w:tcMar>
          </w:tcPr>
          <w:p>
            <w:pPr>
              <w:pStyle w:val="Cell"/>
            </w:pPr>
            <w:r>
              <w:rPr>
                <w:sz w:val="19"/>
                <w:color w:val="3D382F"/>
              </w:rPr>
              <w:t xml:space="preserve">Runnable today</w:t>
            </w:r>
          </w:p>
        </w:tc>
      </w:tr>
    </w:tbl>
    <w:p>
      <w:pPr>
        <w:pStyle w:val="Caption"/>
      </w:pPr>
      <w:r>
        <w:t xml:space="preserve">Stripe exists so the full payment lifecycle can be shown before merchant onboarding. It is not the production path.</w:t>
      </w:r>
    </w:p>
    <w:p>
      <w:pPr>
        <w:pStyle w:val="Body"/>
      </w:pPr>
      <w:r>
        <w:t xml:space="preserve">Deposits and balances are handled end to end: a deposit booking tracks what remains, finance can request the balance, and the customer pays it from a link. Refunds run through the gateway where the provider supports it and are recorded manually where it does not, so an EFT refund still reaches the customer's ledger.</w:t>
      </w:r>
    </w:p>
    <w:p>
      <w:pPr>
        <w:pStyle w:val="Body"/>
      </w:pPr>
      <w:r>
        <w:t xml:space="preserve">A booking does not depend on a webhook arriving. When the customer returns from the payment page the platform queries the gateway directly, and a nightly job reconciles anyone who closed the tab. Unpaid bookings release their venue automatically after </w:t>
      </w:r>
      <w:r>
        <w:rPr>
          <w:b/>
        </w:rPr>
        <w:t xml:space="preserve">60 minutes</w:t>
      </w:r>
      <w:r>
        <w:t xml:space="preserve">.</w:t>
      </w:r>
    </w:p>
    <w:p>
      <w:pPr>
        <w:pStyle w:val="Heading1"/>
      </w:pPr>
      <w:r>
        <w:t xml:space="preserve">Scope — integrations and channels</w:t>
      </w:r>
    </w:p>
    <w:tbl>
      <w:tblPr>
        <w:tblW w:w="9638" w:type="dxa"/>
        <w:tblBorders>
          <w:top w:val="single" w:sz="4" w:space="0" w:color="DED4C6"/>
          <w:left w:val="single" w:sz="4" w:space="0" w:color="DED4C6"/>
          <w:bottom w:val="single" w:sz="4" w:space="0" w:color="DED4C6"/>
          <w:right w:val="single" w:sz="4" w:space="0" w:color="DED4C6"/>
          <w:insideH w:val="single" w:sz="4" w:space="0" w:color="DED4C6"/>
          <w:insideV w:val="single" w:sz="4" w:space="0" w:color="DED4C6"/>
        </w:tblBorders>
        <w:tblLayout w:type="fixed"/>
      </w:tblPr>
      <w:tblGrid>
        <w:gridCol w:w="2300"/>
        <w:gridCol w:w="5100"/>
        <w:gridCol w:w="2238"/>
      </w:tblGrid>
      <w:tr>
        <w:trPr>
          <w:tblHeader/>
        </w:trPr>
        <w:tc>
          <w:tcPr>
            <w:tcW w:w="2300" w:type="dxa"/>
            <w:shd w:val="clear" w:fill="F1ECE3"/>
            <w:tcMar>
              <w:top w:w="80" w:type="dxa"/>
              <w:bottom w:w="80" w:type="dxa"/>
              <w:left w:w="110" w:type="dxa"/>
              <w:right w:w="110" w:type="dxa"/>
            </w:tcMar>
          </w:tcPr>
          <w:p>
            <w:pPr>
              <w:pStyle w:val="Cell"/>
            </w:pPr>
            <w:r>
              <w:rPr>
                <w:b/>
                <w:color w:val="6B6357"/>
                <w:sz w:val="16"/>
                <w:caps/>
              </w:rPr>
              <w:t xml:space="preserve">Capability</w:t>
            </w:r>
          </w:p>
        </w:tc>
        <w:tc>
          <w:tcPr>
            <w:tcW w:w="5100" w:type="dxa"/>
            <w:shd w:val="clear" w:fill="F1ECE3"/>
            <w:tcMar>
              <w:top w:w="80" w:type="dxa"/>
              <w:bottom w:w="80" w:type="dxa"/>
              <w:left w:w="110" w:type="dxa"/>
              <w:right w:w="110" w:type="dxa"/>
            </w:tcMar>
          </w:tcPr>
          <w:p>
            <w:pPr>
              <w:pStyle w:val="Cell"/>
            </w:pPr>
            <w:r>
              <w:rPr>
                <w:b/>
                <w:color w:val="6B6357"/>
                <w:sz w:val="16"/>
                <w:caps/>
              </w:rPr>
              <w:t xml:space="preserve">What it does</w:t>
            </w:r>
          </w:p>
        </w:tc>
        <w:tc>
          <w:tcPr>
            <w:tcW w:w="2238" w:type="dxa"/>
            <w:shd w:val="clear" w:fill="F1ECE3"/>
            <w:tcMar>
              <w:top w:w="80" w:type="dxa"/>
              <w:bottom w:w="80" w:type="dxa"/>
              <w:left w:w="110" w:type="dxa"/>
              <w:right w:w="110" w:type="dxa"/>
            </w:tcMar>
          </w:tcPr>
          <w:p>
            <w:pPr>
              <w:pStyle w:val="Cell"/>
            </w:pPr>
            <w:r>
              <w:rPr>
                <w:b/>
                <w:color w:val="6B6357"/>
                <w:sz w:val="16"/>
                <w:caps/>
              </w:rPr>
              <w:t xml:space="preserve">Status</w:t>
            </w:r>
          </w:p>
        </w:tc>
      </w:tr>
      <w:tr>
        <w:tc>
          <w:tcPr>
            <w:tcW w:w="2300" w:type="dxa"/>
            <w:shd w:val="clear" w:fill="FFFFFF"/>
            <w:tcMar>
              <w:top w:w="80" w:type="dxa"/>
              <w:bottom w:w="80" w:type="dxa"/>
              <w:left w:w="110" w:type="dxa"/>
              <w:right w:w="110" w:type="dxa"/>
            </w:tcMar>
          </w:tcPr>
          <w:p>
            <w:pPr>
              <w:pStyle w:val="Cell"/>
            </w:pPr>
            <w:r>
              <w:rPr>
                <w:sz w:val="19"/>
                <w:color w:val="3D382F"/>
                <w:b/>
                <w:color w:val="1F1C18"/>
              </w:rPr>
              <w:t xml:space="preserve">Website embed</w:t>
            </w:r>
          </w:p>
        </w:tc>
        <w:tc>
          <w:tcPr>
            <w:tcW w:w="5100" w:type="dxa"/>
            <w:shd w:val="clear" w:fill="FFFFFF"/>
            <w:tcMar>
              <w:top w:w="80" w:type="dxa"/>
              <w:bottom w:w="80" w:type="dxa"/>
              <w:left w:w="110" w:type="dxa"/>
              <w:right w:w="110" w:type="dxa"/>
            </w:tcMar>
          </w:tcPr>
          <w:p>
            <w:pPr>
              <w:pStyle w:val="Cell"/>
            </w:pPr>
            <w:r>
              <w:rPr>
                <w:sz w:val="19"/>
                <w:color w:val="3D382F"/>
              </w:rPr>
              <w:t xml:space="preserve">The booking portal runs inside an iframe on the existing Playhouse site, with no second design to maintain</w:t>
            </w:r>
          </w:p>
        </w:tc>
        <w:tc>
          <w:tcPr>
            <w:tcW w:w="2238" w:type="dxa"/>
            <w:shd w:val="clear" w:fill="FFFFFF"/>
            <w:tcMar>
              <w:top w:w="80" w:type="dxa"/>
              <w:bottom w:w="80" w:type="dxa"/>
              <w:left w:w="110" w:type="dxa"/>
              <w:right w:w="110" w:type="dxa"/>
            </w:tcMar>
          </w:tcPr>
          <w:p>
            <w:pPr>
              <w:pStyle w:val="Cell"/>
            </w:pPr>
            <w:r>
              <w:rPr>
                <w:sz w:val="19"/>
                <w:color w:val="3D382F"/>
              </w:rPr>
              <w:t xml:space="preserve">Built</w:t>
            </w:r>
          </w:p>
        </w:tc>
      </w:tr>
      <w:tr>
        <w:tc>
          <w:tcPr>
            <w:tcW w:w="2300" w:type="dxa"/>
            <w:shd w:val="clear" w:fill="FFFFFF"/>
            <w:tcMar>
              <w:top w:w="80" w:type="dxa"/>
              <w:bottom w:w="80" w:type="dxa"/>
              <w:left w:w="110" w:type="dxa"/>
              <w:right w:w="110" w:type="dxa"/>
            </w:tcMar>
          </w:tcPr>
          <w:p>
            <w:pPr>
              <w:pStyle w:val="Cell"/>
            </w:pPr>
            <w:r>
              <w:rPr>
                <w:sz w:val="19"/>
                <w:color w:val="3D382F"/>
                <w:b/>
                <w:color w:val="1F1C18"/>
              </w:rPr>
              <w:t xml:space="preserve">Transactional email</w:t>
            </w:r>
          </w:p>
        </w:tc>
        <w:tc>
          <w:tcPr>
            <w:tcW w:w="5100" w:type="dxa"/>
            <w:shd w:val="clear" w:fill="FFFFFF"/>
            <w:tcMar>
              <w:top w:w="80" w:type="dxa"/>
              <w:bottom w:w="80" w:type="dxa"/>
              <w:left w:w="110" w:type="dxa"/>
              <w:right w:w="110" w:type="dxa"/>
            </w:tcMar>
          </w:tcPr>
          <w:p>
            <w:pPr>
              <w:pStyle w:val="Cell"/>
            </w:pPr>
            <w:r>
              <w:rPr>
                <w:sz w:val="19"/>
                <w:color w:val="3D382F"/>
              </w:rPr>
              <w:t xml:space="preserve">Eleven templates — confirmations, tax invoices, approval notices, cancellations, refunds, password resets — every message logged with its delivery outcome and retried on failure</w:t>
            </w:r>
          </w:p>
        </w:tc>
        <w:tc>
          <w:tcPr>
            <w:tcW w:w="2238" w:type="dxa"/>
            <w:shd w:val="clear" w:fill="FFFFFF"/>
            <w:tcMar>
              <w:top w:w="80" w:type="dxa"/>
              <w:bottom w:w="80" w:type="dxa"/>
              <w:left w:w="110" w:type="dxa"/>
              <w:right w:w="110" w:type="dxa"/>
            </w:tcMar>
          </w:tcPr>
          <w:p>
            <w:pPr>
              <w:pStyle w:val="Cell"/>
            </w:pPr>
            <w:r>
              <w:rPr>
                <w:sz w:val="19"/>
                <w:color w:val="3D382F"/>
              </w:rPr>
              <w:t xml:space="preserve">Sender setup pending</w:t>
            </w:r>
          </w:p>
        </w:tc>
      </w:tr>
      <w:tr>
        <w:tc>
          <w:tcPr>
            <w:tcW w:w="2300" w:type="dxa"/>
            <w:shd w:val="clear" w:fill="FFFFFF"/>
            <w:tcMar>
              <w:top w:w="80" w:type="dxa"/>
              <w:bottom w:w="80" w:type="dxa"/>
              <w:left w:w="110" w:type="dxa"/>
              <w:right w:w="110" w:type="dxa"/>
            </w:tcMar>
          </w:tcPr>
          <w:p>
            <w:pPr>
              <w:pStyle w:val="Cell"/>
            </w:pPr>
            <w:r>
              <w:rPr>
                <w:sz w:val="19"/>
                <w:color w:val="3D382F"/>
                <w:b/>
                <w:color w:val="1F1C18"/>
              </w:rPr>
              <w:t xml:space="preserve">Outlook calendars</w:t>
            </w:r>
          </w:p>
        </w:tc>
        <w:tc>
          <w:tcPr>
            <w:tcW w:w="5100" w:type="dxa"/>
            <w:shd w:val="clear" w:fill="FFFFFF"/>
            <w:tcMar>
              <w:top w:w="80" w:type="dxa"/>
              <w:bottom w:w="80" w:type="dxa"/>
              <w:left w:w="110" w:type="dxa"/>
              <w:right w:w="110" w:type="dxa"/>
            </w:tcMar>
          </w:tcPr>
          <w:p>
            <w:pPr>
              <w:pStyle w:val="Cell"/>
            </w:pPr>
            <w:r>
              <w:rPr>
                <w:sz w:val="19"/>
                <w:color w:val="3D382F"/>
              </w:rPr>
              <w:t xml:space="preserve">Confirmed bookings appear on each venue's resource mailbox via Microsoft Graph, so operations see the same occupancy the platform enforces</w:t>
            </w:r>
          </w:p>
        </w:tc>
        <w:tc>
          <w:tcPr>
            <w:tcW w:w="2238" w:type="dxa"/>
            <w:shd w:val="clear" w:fill="FFFFFF"/>
            <w:tcMar>
              <w:top w:w="80" w:type="dxa"/>
              <w:bottom w:w="80" w:type="dxa"/>
              <w:left w:w="110" w:type="dxa"/>
              <w:right w:w="110" w:type="dxa"/>
            </w:tcMar>
          </w:tcPr>
          <w:p>
            <w:pPr>
              <w:pStyle w:val="Cell"/>
            </w:pPr>
            <w:r>
              <w:rPr>
                <w:sz w:val="19"/>
                <w:color w:val="3D382F"/>
              </w:rPr>
              <w:t xml:space="preserve">Needs tenant access</w:t>
            </w:r>
          </w:p>
        </w:tc>
      </w:tr>
      <w:tr>
        <w:tc>
          <w:tcPr>
            <w:tcW w:w="2300" w:type="dxa"/>
            <w:shd w:val="clear" w:fill="FFFFFF"/>
            <w:tcMar>
              <w:top w:w="80" w:type="dxa"/>
              <w:bottom w:w="80" w:type="dxa"/>
              <w:left w:w="110" w:type="dxa"/>
              <w:right w:w="110" w:type="dxa"/>
            </w:tcMar>
          </w:tcPr>
          <w:p>
            <w:pPr>
              <w:pStyle w:val="Cell"/>
            </w:pPr>
            <w:r>
              <w:rPr>
                <w:sz w:val="19"/>
                <w:color w:val="3D382F"/>
                <w:b/>
                <w:color w:val="1F1C18"/>
              </w:rPr>
              <w:t xml:space="preserve">Calendar subscription</w:t>
            </w:r>
          </w:p>
        </w:tc>
        <w:tc>
          <w:tcPr>
            <w:tcW w:w="5100" w:type="dxa"/>
            <w:shd w:val="clear" w:fill="FFFFFF"/>
            <w:tcMar>
              <w:top w:w="80" w:type="dxa"/>
              <w:bottom w:w="80" w:type="dxa"/>
              <w:left w:w="110" w:type="dxa"/>
              <w:right w:w="110" w:type="dxa"/>
            </w:tcMar>
          </w:tcPr>
          <w:p>
            <w:pPr>
              <w:pStyle w:val="Cell"/>
            </w:pPr>
            <w:r>
              <w:rPr>
                <w:sz w:val="19"/>
                <w:color w:val="3D382F"/>
              </w:rPr>
              <w:t xml:space="preserve">A per-venue feed any calendar application can subscribe to, protected by its own token</w:t>
            </w:r>
          </w:p>
        </w:tc>
        <w:tc>
          <w:tcPr>
            <w:tcW w:w="2238" w:type="dxa"/>
            <w:shd w:val="clear" w:fill="FFFFFF"/>
            <w:tcMar>
              <w:top w:w="80" w:type="dxa"/>
              <w:bottom w:w="80" w:type="dxa"/>
              <w:left w:w="110" w:type="dxa"/>
              <w:right w:w="110" w:type="dxa"/>
            </w:tcMar>
          </w:tcPr>
          <w:p>
            <w:pPr>
              <w:pStyle w:val="Cell"/>
            </w:pPr>
            <w:r>
              <w:rPr>
                <w:sz w:val="19"/>
                <w:color w:val="3D382F"/>
              </w:rPr>
              <w:t xml:space="preserve">Built</w:t>
            </w:r>
          </w:p>
        </w:tc>
      </w:tr>
      <w:tr>
        <w:tc>
          <w:tcPr>
            <w:tcW w:w="2300" w:type="dxa"/>
            <w:shd w:val="clear" w:fill="FFFFFF"/>
            <w:tcMar>
              <w:top w:w="80" w:type="dxa"/>
              <w:bottom w:w="80" w:type="dxa"/>
              <w:left w:w="110" w:type="dxa"/>
              <w:right w:w="110" w:type="dxa"/>
            </w:tcMar>
          </w:tcPr>
          <w:p>
            <w:pPr>
              <w:pStyle w:val="Cell"/>
            </w:pPr>
            <w:r>
              <w:rPr>
                <w:sz w:val="19"/>
                <w:color w:val="3D382F"/>
                <w:b/>
                <w:color w:val="1F1C18"/>
              </w:rPr>
              <w:t xml:space="preserve">WhatsApp assistant</w:t>
            </w:r>
          </w:p>
        </w:tc>
        <w:tc>
          <w:tcPr>
            <w:tcW w:w="5100" w:type="dxa"/>
            <w:shd w:val="clear" w:fill="FFFFFF"/>
            <w:tcMar>
              <w:top w:w="80" w:type="dxa"/>
              <w:bottom w:w="80" w:type="dxa"/>
              <w:left w:w="110" w:type="dxa"/>
              <w:right w:w="110" w:type="dxa"/>
            </w:tcMar>
          </w:tcPr>
          <w:p>
            <w:pPr>
              <w:pStyle w:val="Cell"/>
            </w:pPr>
            <w:r>
              <w:rPr>
                <w:sz w:val="19"/>
                <w:color w:val="3D382F"/>
              </w:rPr>
              <w:t xml:space="preserve">The same booking assistant over WhatsApp Cloud API, with verified message signatures</w:t>
            </w:r>
          </w:p>
        </w:tc>
        <w:tc>
          <w:tcPr>
            <w:tcW w:w="2238" w:type="dxa"/>
            <w:shd w:val="clear" w:fill="FFFFFF"/>
            <w:tcMar>
              <w:top w:w="80" w:type="dxa"/>
              <w:bottom w:w="80" w:type="dxa"/>
              <w:left w:w="110" w:type="dxa"/>
              <w:right w:w="110" w:type="dxa"/>
            </w:tcMar>
          </w:tcPr>
          <w:p>
            <w:pPr>
              <w:pStyle w:val="Cell"/>
            </w:pPr>
            <w:r>
              <w:rPr>
                <w:sz w:val="19"/>
                <w:color w:val="3D382F"/>
              </w:rPr>
              <w:t xml:space="preserve">Needs Meta account</w:t>
            </w:r>
          </w:p>
        </w:tc>
      </w:tr>
      <w:tr>
        <w:tc>
          <w:tcPr>
            <w:tcW w:w="2300" w:type="dxa"/>
            <w:shd w:val="clear" w:fill="FFFFFF"/>
            <w:tcMar>
              <w:top w:w="80" w:type="dxa"/>
              <w:bottom w:w="80" w:type="dxa"/>
              <w:left w:w="110" w:type="dxa"/>
              <w:right w:w="110" w:type="dxa"/>
            </w:tcMar>
          </w:tcPr>
          <w:p>
            <w:pPr>
              <w:pStyle w:val="Cell"/>
            </w:pPr>
            <w:r>
              <w:rPr>
                <w:sz w:val="19"/>
                <w:color w:val="3D382F"/>
                <w:b/>
                <w:color w:val="1F1C18"/>
              </w:rPr>
              <w:t xml:space="preserve">Newsletter capture</w:t>
            </w:r>
          </w:p>
        </w:tc>
        <w:tc>
          <w:tcPr>
            <w:tcW w:w="5100" w:type="dxa"/>
            <w:shd w:val="clear" w:fill="FFFFFF"/>
            <w:tcMar>
              <w:top w:w="80" w:type="dxa"/>
              <w:bottom w:w="80" w:type="dxa"/>
              <w:left w:w="110" w:type="dxa"/>
              <w:right w:w="110" w:type="dxa"/>
            </w:tcMar>
          </w:tcPr>
          <w:p>
            <w:pPr>
              <w:pStyle w:val="Cell"/>
            </w:pPr>
            <w:r>
              <w:rPr>
                <w:sz w:val="19"/>
                <w:color w:val="3D382F"/>
              </w:rPr>
              <w:t xml:space="preserve">Opt-in sign-up with the date consent was recorded, as POPIA requires</w:t>
            </w:r>
          </w:p>
        </w:tc>
        <w:tc>
          <w:tcPr>
            <w:tcW w:w="2238" w:type="dxa"/>
            <w:shd w:val="clear" w:fill="FFFFFF"/>
            <w:tcMar>
              <w:top w:w="80" w:type="dxa"/>
              <w:bottom w:w="80" w:type="dxa"/>
              <w:left w:w="110" w:type="dxa"/>
              <w:right w:w="110" w:type="dxa"/>
            </w:tcMar>
          </w:tcPr>
          <w:p>
            <w:pPr>
              <w:pStyle w:val="Cell"/>
            </w:pPr>
            <w:r>
              <w:rPr>
                <w:sz w:val="19"/>
                <w:color w:val="3D382F"/>
              </w:rPr>
              <w:t xml:space="preserve">Built</w:t>
            </w:r>
          </w:p>
        </w:tc>
      </w:tr>
    </w:tbl>
    <w:p>
      <w:pPr>
        <w:pStyle w:val="Body"/>
      </w:pPr>
    </w:p>
    <w:p>
      <w:pPr>
        <w:pStyle w:val="Heading1"/>
      </w:pPr>
      <w:r>
        <w:t xml:space="preserve">Scope — reporting and access</w:t>
      </w:r>
    </w:p>
    <w:p>
      <w:pPr>
        <w:pStyle w:val="Body"/>
      </w:pPr>
      <w:r>
        <w:t xml:space="preserve">Six operational reports, each filterable by date range and exportable to CSV: bookings by venue, revenue by venue, customer booking history, cancelled bookings, outstanding payments, and venue utilisation. The venue schedule also exports for distribution to staff.</w:t>
      </w:r>
    </w:p>
    <w:p>
      <w:pPr>
        <w:pStyle w:val="Body"/>
      </w:pPr>
      <w:r>
        <w:t xml:space="preserve">Five roles keep duties separated — </w:t>
      </w:r>
      <w:r>
        <w:rPr>
          <w:b/>
        </w:rPr>
        <w:t xml:space="preserve">customer</w:t>
      </w:r>
      <w:r>
        <w:t xml:space="preserve">, </w:t>
      </w:r>
      <w:r>
        <w:rPr>
          <w:b/>
        </w:rPr>
        <w:t xml:space="preserve">front desk</w:t>
      </w:r>
      <w:r>
        <w:t xml:space="preserve"> (read-only operational access), </w:t>
      </w:r>
      <w:r>
        <w:rPr>
          <w:b/>
        </w:rPr>
        <w:t xml:space="preserve">venue manager</w:t>
      </w:r>
      <w:r>
        <w:t xml:space="preserve"> (approves only their assigned venues), </w:t>
      </w:r>
      <w:r>
        <w:rPr>
          <w:b/>
        </w:rPr>
        <w:t xml:space="preserve">finance</w:t>
      </w:r>
      <w:r>
        <w:t xml:space="preserve"> (payments, refunds, financial reports) and </w:t>
      </w:r>
      <w:r>
        <w:rPr>
          <w:b/>
        </w:rPr>
        <w:t xml:space="preserve">administrator</w:t>
      </w:r>
      <w:r>
        <w:t xml:space="preserve">. Venue managers see only what they are responsible for.</w:t>
      </w:r>
    </w:p>
    <w:p>
      <w:pPr>
        <w:pStyle w:val="Heading1"/>
      </w:pPr>
      <w:r>
        <w:t xml:space="preserve">Compliance — regulatory position</w:t>
      </w:r>
    </w:p>
    <w:p>
      <w:pPr>
        <w:pStyle w:val="Bullet"/>
        <w:numPr>
          <w:ilvl w:val="0"/>
          <w:numId w:val="1"/>
        </w:numPr>
      </w:pPr>
      <w:r>
        <w:rPr>
          <w:b/>
        </w:rPr>
        <w:t xml:space="preserve">VAT.</w:t>
      </w:r>
      <w:r>
        <w:t xml:space="preserve"> The published tariff is VAT-inclusive, so the VAT portion is extracted for the tax invoice rather than added to the price. The rate and registration number are stamped onto each invoice, so a future rate change cannot alter a historical one.</w:t>
      </w:r>
    </w:p>
    <w:p>
      <w:pPr>
        <w:pStyle w:val="Bullet"/>
        <w:numPr>
          <w:ilvl w:val="0"/>
          <w:numId w:val="1"/>
        </w:numPr>
      </w:pPr>
      <w:r>
        <w:rPr>
          <w:b/>
        </w:rPr>
        <w:t xml:space="preserve">Conditions of hire.</w:t>
      </w:r>
      <w:r>
        <w:t xml:space="preserve"> The version a customer accepted is recorded against their booking with the moment they accepted it, so a later revision never changes what was agreed.</w:t>
      </w:r>
    </w:p>
    <w:p>
      <w:pPr>
        <w:pStyle w:val="Bullet"/>
        <w:numPr>
          <w:ilvl w:val="0"/>
          <w:numId w:val="1"/>
        </w:numPr>
      </w:pPr>
      <w:r>
        <w:rPr>
          <w:b/>
        </w:rPr>
        <w:t xml:space="preserve">POPIA.</w:t>
      </w:r>
      <w:r>
        <w:t xml:space="preserve"> A privacy notice is published and discloses the three cookies the platform sets, all of them strictly necessary. No analytics or advertising trackers are used, so no consent banner is required. Card details never touch the platform.</w:t>
      </w:r>
    </w:p>
    <w:p>
      <w:pPr>
        <w:pStyle w:val="Bullet"/>
        <w:numPr>
          <w:ilvl w:val="0"/>
          <w:numId w:val="1"/>
        </w:numPr>
      </w:pPr>
      <w:r>
        <w:rPr>
          <w:b/>
        </w:rPr>
        <w:t xml:space="preserve">Audit trail.</w:t>
      </w:r>
      <w:r>
        <w:t xml:space="preserve"> Approvals, rejections, cancellations, refunds and manual payments are all recorded against the staff member who performed them.</w:t>
      </w:r>
    </w:p>
    <w:p>
      <w:pPr>
        <w:pStyle w:val="Body"/>
      </w:pPr>
    </w:p>
    <w:p>
      <w:pPr>
        <w:pStyle w:val="Heading1"/>
      </w:pPr>
      <w:r>
        <w:t xml:space="preserve">Risk — what is outstanding</w:t>
      </w:r>
    </w:p>
    <w:p>
      <w:pPr>
        <w:pStyle w:val="Body"/>
      </w:pPr>
      <w:r>
        <w:t xml:space="preserve">The platform refuses to start in production while any of these is unresolved — a deliberate guard, so it cannot go live quietly taking simulated payments. None is development work.</w:t>
      </w:r>
    </w:p>
    <w:tbl>
      <w:tblPr>
        <w:tblW w:w="9638" w:type="dxa"/>
        <w:tblBorders>
          <w:top w:val="single" w:sz="4" w:space="0" w:color="DED4C6"/>
          <w:left w:val="single" w:sz="4" w:space="0" w:color="DED4C6"/>
          <w:bottom w:val="single" w:sz="4" w:space="0" w:color="DED4C6"/>
          <w:right w:val="single" w:sz="4" w:space="0" w:color="DED4C6"/>
          <w:insideH w:val="single" w:sz="4" w:space="0" w:color="DED4C6"/>
          <w:insideV w:val="single" w:sz="4" w:space="0" w:color="DED4C6"/>
        </w:tblBorders>
        <w:tblLayout w:type="fixed"/>
      </w:tblPr>
      <w:tblGrid>
        <w:gridCol w:w="2500"/>
        <w:gridCol w:w="4800"/>
        <w:gridCol w:w="2338"/>
      </w:tblGrid>
      <w:tr>
        <w:trPr>
          <w:tblHeader/>
        </w:trPr>
        <w:tc>
          <w:tcPr>
            <w:tcW w:w="2500" w:type="dxa"/>
            <w:shd w:val="clear" w:fill="F1ECE3"/>
            <w:tcMar>
              <w:top w:w="80" w:type="dxa"/>
              <w:bottom w:w="80" w:type="dxa"/>
              <w:left w:w="110" w:type="dxa"/>
              <w:right w:w="110" w:type="dxa"/>
            </w:tcMar>
          </w:tcPr>
          <w:p>
            <w:pPr>
              <w:pStyle w:val="Cell"/>
            </w:pPr>
            <w:r>
              <w:rPr>
                <w:b/>
                <w:color w:val="6B6357"/>
                <w:sz w:val="16"/>
                <w:caps/>
              </w:rPr>
              <w:t xml:space="preserve">Item</w:t>
            </w:r>
          </w:p>
        </w:tc>
        <w:tc>
          <w:tcPr>
            <w:tcW w:w="4800" w:type="dxa"/>
            <w:shd w:val="clear" w:fill="F1ECE3"/>
            <w:tcMar>
              <w:top w:w="80" w:type="dxa"/>
              <w:bottom w:w="80" w:type="dxa"/>
              <w:left w:w="110" w:type="dxa"/>
              <w:right w:w="110" w:type="dxa"/>
            </w:tcMar>
          </w:tcPr>
          <w:p>
            <w:pPr>
              <w:pStyle w:val="Cell"/>
            </w:pPr>
            <w:r>
              <w:rPr>
                <w:b/>
                <w:color w:val="6B6357"/>
                <w:sz w:val="16"/>
                <w:caps/>
              </w:rPr>
              <w:t xml:space="preserve">What is needed</w:t>
            </w:r>
          </w:p>
        </w:tc>
        <w:tc>
          <w:tcPr>
            <w:tcW w:w="2338" w:type="dxa"/>
            <w:shd w:val="clear" w:fill="F1ECE3"/>
            <w:tcMar>
              <w:top w:w="80" w:type="dxa"/>
              <w:bottom w:w="80" w:type="dxa"/>
              <w:left w:w="110" w:type="dxa"/>
              <w:right w:w="110" w:type="dxa"/>
            </w:tcMar>
          </w:tcPr>
          <w:p>
            <w:pPr>
              <w:pStyle w:val="Cell"/>
            </w:pPr>
            <w:r>
              <w:rPr>
                <w:b/>
                <w:color w:val="6B6357"/>
                <w:sz w:val="16"/>
                <w:caps/>
              </w:rPr>
              <w:t xml:space="preserve">Owner</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Merchant account</w:t>
            </w:r>
          </w:p>
        </w:tc>
        <w:tc>
          <w:tcPr>
            <w:tcW w:w="4800" w:type="dxa"/>
            <w:shd w:val="clear" w:fill="FFFFFF"/>
            <w:tcMar>
              <w:top w:w="80" w:type="dxa"/>
              <w:bottom w:w="80" w:type="dxa"/>
              <w:left w:w="110" w:type="dxa"/>
              <w:right w:w="110" w:type="dxa"/>
            </w:tcMar>
          </w:tcPr>
          <w:p>
            <w:pPr>
              <w:pStyle w:val="Cell"/>
            </w:pPr>
            <w:r>
              <w:rPr>
                <w:sz w:val="19"/>
                <w:color w:val="3D382F"/>
              </w:rPr>
              <w:t xml:space="preserve">A state-registered merchant facility with one of the four gateways, then credentials</w:t>
            </w:r>
          </w:p>
        </w:tc>
        <w:tc>
          <w:tcPr>
            <w:tcW w:w="2338" w:type="dxa"/>
            <w:shd w:val="clear" w:fill="FFFFFF"/>
            <w:tcMar>
              <w:top w:w="80" w:type="dxa"/>
              <w:bottom w:w="80" w:type="dxa"/>
              <w:left w:w="110" w:type="dxa"/>
              <w:right w:w="110" w:type="dxa"/>
            </w:tcMar>
          </w:tcPr>
          <w:p>
            <w:pPr>
              <w:pStyle w:val="Cell"/>
            </w:pPr>
            <w:r>
              <w:rPr>
                <w:sz w:val="19"/>
                <w:color w:val="3D382F"/>
              </w:rPr>
              <w:t xml:space="preserve">The Playhouse Company</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VAT registration number</w:t>
            </w:r>
          </w:p>
        </w:tc>
        <w:tc>
          <w:tcPr>
            <w:tcW w:w="4800" w:type="dxa"/>
            <w:shd w:val="clear" w:fill="FFFFFF"/>
            <w:tcMar>
              <w:top w:w="80" w:type="dxa"/>
              <w:bottom w:w="80" w:type="dxa"/>
              <w:left w:w="110" w:type="dxa"/>
              <w:right w:w="110" w:type="dxa"/>
            </w:tcMar>
          </w:tcPr>
          <w:p>
            <w:pPr>
              <w:pStyle w:val="Cell"/>
            </w:pPr>
            <w:r>
              <w:rPr>
                <w:sz w:val="19"/>
                <w:color w:val="3D382F"/>
              </w:rPr>
              <w:t xml:space="preserve">Required by SARS on every valid tax invoice</w:t>
            </w:r>
          </w:p>
        </w:tc>
        <w:tc>
          <w:tcPr>
            <w:tcW w:w="2338" w:type="dxa"/>
            <w:shd w:val="clear" w:fill="FFFFFF"/>
            <w:tcMar>
              <w:top w:w="80" w:type="dxa"/>
              <w:bottom w:w="80" w:type="dxa"/>
              <w:left w:w="110" w:type="dxa"/>
              <w:right w:w="110" w:type="dxa"/>
            </w:tcMar>
          </w:tcPr>
          <w:p>
            <w:pPr>
              <w:pStyle w:val="Cell"/>
            </w:pPr>
            <w:r>
              <w:rPr>
                <w:sz w:val="19"/>
                <w:color w:val="3D382F"/>
              </w:rPr>
              <w:t xml:space="preserve">The Playhouse Company</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Conditions of hire</w:t>
            </w:r>
          </w:p>
        </w:tc>
        <w:tc>
          <w:tcPr>
            <w:tcW w:w="4800" w:type="dxa"/>
            <w:shd w:val="clear" w:fill="FFFFFF"/>
            <w:tcMar>
              <w:top w:w="80" w:type="dxa"/>
              <w:bottom w:w="80" w:type="dxa"/>
              <w:left w:w="110" w:type="dxa"/>
              <w:right w:w="110" w:type="dxa"/>
            </w:tcMar>
          </w:tcPr>
          <w:p>
            <w:pPr>
              <w:pStyle w:val="Cell"/>
            </w:pPr>
            <w:r>
              <w:rPr>
                <w:sz w:val="19"/>
                <w:color w:val="3D382F"/>
              </w:rPr>
              <w:t xml:space="preserve">Ten clauses still marked draft and awaiting confirmation, yet customers are asked to accept them</w:t>
            </w:r>
          </w:p>
        </w:tc>
        <w:tc>
          <w:tcPr>
            <w:tcW w:w="2338" w:type="dxa"/>
            <w:shd w:val="clear" w:fill="FFFFFF"/>
            <w:tcMar>
              <w:top w:w="80" w:type="dxa"/>
              <w:bottom w:w="80" w:type="dxa"/>
              <w:left w:w="110" w:type="dxa"/>
              <w:right w:w="110" w:type="dxa"/>
            </w:tcMar>
          </w:tcPr>
          <w:p>
            <w:pPr>
              <w:pStyle w:val="Cell"/>
            </w:pPr>
            <w:r>
              <w:rPr>
                <w:sz w:val="19"/>
                <w:color w:val="3D382F"/>
              </w:rPr>
              <w:t xml:space="preserve">The Playhouse Company</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Live domain</w:t>
            </w:r>
          </w:p>
        </w:tc>
        <w:tc>
          <w:tcPr>
            <w:tcW w:w="4800" w:type="dxa"/>
            <w:shd w:val="clear" w:fill="FFFFFF"/>
            <w:tcMar>
              <w:top w:w="80" w:type="dxa"/>
              <w:bottom w:w="80" w:type="dxa"/>
              <w:left w:w="110" w:type="dxa"/>
              <w:right w:w="110" w:type="dxa"/>
            </w:tcMar>
          </w:tcPr>
          <w:p>
            <w:pPr>
              <w:pStyle w:val="Cell"/>
            </w:pPr>
            <w:r>
              <w:rPr>
                <w:sz w:val="19"/>
                <w:color w:val="3D382F"/>
              </w:rPr>
              <w:t xml:space="preserve">The address customers use, since payment return links are built from it</w:t>
            </w:r>
          </w:p>
        </w:tc>
        <w:tc>
          <w:tcPr>
            <w:tcW w:w="2338" w:type="dxa"/>
            <w:shd w:val="clear" w:fill="FFFFFF"/>
            <w:tcMar>
              <w:top w:w="80" w:type="dxa"/>
              <w:bottom w:w="80" w:type="dxa"/>
              <w:left w:w="110" w:type="dxa"/>
              <w:right w:w="110" w:type="dxa"/>
            </w:tcMar>
          </w:tcPr>
          <w:p>
            <w:pPr>
              <w:pStyle w:val="Cell"/>
            </w:pPr>
            <w:r>
              <w:rPr>
                <w:sz w:val="19"/>
                <w:color w:val="3D382F"/>
              </w:rPr>
              <w:t xml:space="preserve">Joint</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Staff account passwords</w:t>
            </w:r>
          </w:p>
        </w:tc>
        <w:tc>
          <w:tcPr>
            <w:tcW w:w="4800" w:type="dxa"/>
            <w:shd w:val="clear" w:fill="FFFFFF"/>
            <w:tcMar>
              <w:top w:w="80" w:type="dxa"/>
              <w:bottom w:w="80" w:type="dxa"/>
              <w:left w:w="110" w:type="dxa"/>
              <w:right w:w="110" w:type="dxa"/>
            </w:tcMar>
          </w:tcPr>
          <w:p>
            <w:pPr>
              <w:pStyle w:val="Cell"/>
            </w:pPr>
            <w:r>
              <w:rPr>
                <w:sz w:val="19"/>
                <w:color w:val="3D382F"/>
              </w:rPr>
              <w:t xml:space="preserve">Five seeded accounts still use the published demonstration password</w:t>
            </w:r>
          </w:p>
        </w:tc>
        <w:tc>
          <w:tcPr>
            <w:tcW w:w="2338" w:type="dxa"/>
            <w:shd w:val="clear" w:fill="FFFFFF"/>
            <w:tcMar>
              <w:top w:w="80" w:type="dxa"/>
              <w:bottom w:w="80" w:type="dxa"/>
              <w:left w:w="110" w:type="dxa"/>
              <w:right w:w="110" w:type="dxa"/>
            </w:tcMar>
          </w:tcPr>
          <w:p>
            <w:pPr>
              <w:pStyle w:val="Cell"/>
            </w:pPr>
            <w:r>
              <w:rPr>
                <w:sz w:val="19"/>
                <w:color w:val="3D382F"/>
              </w:rPr>
              <w:t xml:space="preserve">Joint</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Mail sending</w:t>
            </w:r>
          </w:p>
        </w:tc>
        <w:tc>
          <w:tcPr>
            <w:tcW w:w="4800" w:type="dxa"/>
            <w:shd w:val="clear" w:fill="FFFFFF"/>
            <w:tcMar>
              <w:top w:w="80" w:type="dxa"/>
              <w:bottom w:w="80" w:type="dxa"/>
              <w:left w:w="110" w:type="dxa"/>
              <w:right w:w="110" w:type="dxa"/>
            </w:tcMar>
          </w:tcPr>
          <w:p>
            <w:pPr>
              <w:pStyle w:val="Cell"/>
            </w:pPr>
            <w:r>
              <w:rPr>
                <w:sz w:val="19"/>
                <w:color w:val="3D382F"/>
              </w:rPr>
              <w:t xml:space="preserve">Sender domain is authenticated; the relay's IP restriction still blocks delivery from the hosting platform</w:t>
            </w:r>
          </w:p>
        </w:tc>
        <w:tc>
          <w:tcPr>
            <w:tcW w:w="2338" w:type="dxa"/>
            <w:shd w:val="clear" w:fill="FFFFFF"/>
            <w:tcMar>
              <w:top w:w="80" w:type="dxa"/>
              <w:bottom w:w="80" w:type="dxa"/>
              <w:left w:w="110" w:type="dxa"/>
              <w:right w:w="110" w:type="dxa"/>
            </w:tcMar>
          </w:tcPr>
          <w:p>
            <w:pPr>
              <w:pStyle w:val="Cell"/>
            </w:pPr>
            <w:r>
              <w:rPr>
                <w:sz w:val="19"/>
                <w:color w:val="3D382F"/>
              </w:rPr>
              <w:t xml:space="preserve">Service provider</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Venue copy and capacity</w:t>
            </w:r>
          </w:p>
        </w:tc>
        <w:tc>
          <w:tcPr>
            <w:tcW w:w="4800" w:type="dxa"/>
            <w:shd w:val="clear" w:fill="FFFFFF"/>
            <w:tcMar>
              <w:top w:w="80" w:type="dxa"/>
              <w:bottom w:w="80" w:type="dxa"/>
              <w:left w:w="110" w:type="dxa"/>
              <w:right w:w="110" w:type="dxa"/>
            </w:tcMar>
          </w:tcPr>
          <w:p>
            <w:pPr>
              <w:pStyle w:val="Cell"/>
            </w:pPr>
            <w:r>
              <w:rPr>
                <w:sz w:val="19"/>
                <w:color w:val="3D382F"/>
              </w:rPr>
              <w:t xml:space="preserve">Ten venue descriptions are placeholders; capacity missing for four</w:t>
            </w:r>
          </w:p>
        </w:tc>
        <w:tc>
          <w:tcPr>
            <w:tcW w:w="2338" w:type="dxa"/>
            <w:shd w:val="clear" w:fill="FFFFFF"/>
            <w:tcMar>
              <w:top w:w="80" w:type="dxa"/>
              <w:bottom w:w="80" w:type="dxa"/>
              <w:left w:w="110" w:type="dxa"/>
              <w:right w:w="110" w:type="dxa"/>
            </w:tcMar>
          </w:tcPr>
          <w:p>
            <w:pPr>
              <w:pStyle w:val="Cell"/>
            </w:pPr>
            <w:r>
              <w:rPr>
                <w:sz w:val="19"/>
                <w:color w:val="3D382F"/>
              </w:rPr>
              <w:t xml:space="preserve">The Playhouse Company</w:t>
            </w:r>
          </w:p>
        </w:tc>
      </w:tr>
      <w:tr>
        <w:tc>
          <w:tcPr>
            <w:tcW w:w="2500" w:type="dxa"/>
            <w:shd w:val="clear" w:fill="FFFFFF"/>
            <w:tcMar>
              <w:top w:w="80" w:type="dxa"/>
              <w:bottom w:w="80" w:type="dxa"/>
              <w:left w:w="110" w:type="dxa"/>
              <w:right w:w="110" w:type="dxa"/>
            </w:tcMar>
          </w:tcPr>
          <w:p>
            <w:pPr>
              <w:pStyle w:val="Cell"/>
            </w:pPr>
            <w:r>
              <w:rPr>
                <w:sz w:val="19"/>
                <w:color w:val="3D382F"/>
                <w:b/>
                <w:color w:val="1F1C18"/>
              </w:rPr>
              <w:t xml:space="preserve">Microsoft 365 / Meta</w:t>
            </w:r>
          </w:p>
        </w:tc>
        <w:tc>
          <w:tcPr>
            <w:tcW w:w="4800" w:type="dxa"/>
            <w:shd w:val="clear" w:fill="FFFFFF"/>
            <w:tcMar>
              <w:top w:w="80" w:type="dxa"/>
              <w:bottom w:w="80" w:type="dxa"/>
              <w:left w:w="110" w:type="dxa"/>
              <w:right w:w="110" w:type="dxa"/>
            </w:tcMar>
          </w:tcPr>
          <w:p>
            <w:pPr>
              <w:pStyle w:val="Cell"/>
            </w:pPr>
            <w:r>
              <w:rPr>
                <w:sz w:val="19"/>
                <w:color w:val="3D382F"/>
              </w:rPr>
              <w:t xml:space="preserve">Tenant access for Outlook sync and a Business account for WhatsApp, both optional at launch</w:t>
            </w:r>
          </w:p>
        </w:tc>
        <w:tc>
          <w:tcPr>
            <w:tcW w:w="2338" w:type="dxa"/>
            <w:shd w:val="clear" w:fill="FFFFFF"/>
            <w:tcMar>
              <w:top w:w="80" w:type="dxa"/>
              <w:bottom w:w="80" w:type="dxa"/>
              <w:left w:w="110" w:type="dxa"/>
              <w:right w:w="110" w:type="dxa"/>
            </w:tcMar>
          </w:tcPr>
          <w:p>
            <w:pPr>
              <w:pStyle w:val="Cell"/>
            </w:pPr>
            <w:r>
              <w:rPr>
                <w:sz w:val="19"/>
                <w:color w:val="3D382F"/>
              </w:rPr>
              <w:t xml:space="preserve">The Playhouse Company</w:t>
            </w:r>
          </w:p>
        </w:tc>
      </w:tr>
    </w:tbl>
    <w:p>
      <w:pPr>
        <w:pStyle w:val="Body"/>
      </w:pPr>
    </w:p>
    <w:p>
      <w:pPr>
        <w:pStyle w:val="Heading1"/>
      </w:pPr>
      <w:r>
        <w:t xml:space="preserve">Delivery — points to carry into the proposal</w:t>
      </w:r>
    </w:p>
    <w:p>
      <w:pPr>
        <w:pStyle w:val="Heading2"/>
      </w:pPr>
      <w:r>
        <w:t xml:space="preserve">The build is done; the dependencies are commercial</w:t>
      </w:r>
    </w:p>
    <w:p>
      <w:pPr>
        <w:pStyle w:val="Body"/>
      </w:pPr>
      <w:r>
        <w:t xml:space="preserve">Every outstanding item is a credential, a signature or a piece of copy. That is a favourable position to write from, and worth stating plainly rather than burying in a risk register.</w:t>
      </w:r>
    </w:p>
    <w:p>
      <w:pPr>
        <w:pStyle w:val="Heading2"/>
      </w:pPr>
      <w:r>
        <w:t xml:space="preserve">Gateway choice can be deferred</w:t>
      </w:r>
    </w:p>
    <w:p>
      <w:pPr>
        <w:pStyle w:val="Body"/>
      </w:pPr>
      <w:r>
        <w:t xml:space="preserve">Because all four are implemented, the proposal can commit to whichever acquirer the merchant bank arrangement favours without re-quoting development.</w:t>
      </w:r>
    </w:p>
    <w:p>
      <w:pPr>
        <w:pStyle w:val="Heading2"/>
      </w:pPr>
      <w:r>
        <w:t xml:space="preserve">Approval workflow matches how the venues actually trade</w:t>
      </w:r>
    </w:p>
    <w:p>
      <w:pPr>
        <w:pStyle w:val="Body"/>
      </w:pPr>
      <w:r>
        <w:t xml:space="preserve">Theatres and function venues require management approval; rehearsal rooms and the studio confirm on payment. This mirrors existing practice rather than imposing a new one.</w:t>
      </w:r>
    </w:p>
    <w:p>
      <w:pPr>
        <w:pStyle w:val="Heading2"/>
      </w:pPr>
      <w:r>
        <w:t xml:space="preserve">Hosting has a cost step worth flagging</w:t>
      </w:r>
    </w:p>
    <w:p>
      <w:pPr>
        <w:pStyle w:val="Body"/>
      </w:pPr>
      <w:r>
        <w:t xml:space="preserve">The current plan limits scheduled maintenance to once daily and functions to sixty seconds. Nothing depends on it for correctness, but the next tier allows a five-minute cycle and should be priced if the client wants it.</w:t>
      </w:r>
    </w:p>
    <w:p>
      <w:pPr>
        <w:pStyle w:val="Heading2"/>
      </w:pPr>
      <w:r>
        <w:t xml:space="preserve">Recommend a staging period before trading</w:t>
      </w:r>
    </w:p>
    <w:p>
      <w:pPr>
        <w:pStyle w:val="Body"/>
      </w:pPr>
      <w:r>
        <w:t xml:space="preserve">Once merchant credentials arrive, run live gateway tests and real email delivery on a staging deployment that takes no real bookings. Build the time into the schedule.</w:t>
      </w:r>
    </w:p>
    <w:p>
      <w:pPr>
        <w:pStyle w:val="Body"/>
      </w:pPr>
    </w:p>
    <w:p>
      <w:pPr>
        <w:pStyle w:val="Footnote"/>
      </w:pPr>
      <w:r>
        <w:t xml:space="preserve">Prepared from the working codebase and its live database on 18 August 2026. Figures are demonstration data; tariffs, capacities and venue copy require confirmation from The Playhouse Company before publication.</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Calibri" w:hAnsi="Calibri"/>
        <w:color w:val="B08D3F"/>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3D382F"/>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0" w:after="160" w:line="276" w:lineRule="auto"/>
    </w:pPr>
    <w:rPr>
      <w:sz w:val="48"/>
      <w:szCs w:val="48"/>
      <w:color w:val="1F1C18"/>
      <w:b/>
    </w:rPr>
  </w:style>
  <w:style w:type="paragraph" w:styleId="Standfirst">
    <w:name w:val="Standfirst"/>
    <w:basedOn w:val="Normal"/>
    <w:qFormat/>
    <w:pPr>
      <w:spacing w:before="0" w:after="160" w:line="276" w:lineRule="auto"/>
    </w:pPr>
    <w:rPr>
      <w:sz w:val="24"/>
      <w:szCs w:val="24"/>
      <w:color w:val="3D382F"/>
    </w:rPr>
  </w:style>
  <w:style w:type="paragraph" w:styleId="Eyebrow">
    <w:name w:val="Eyebrow"/>
    <w:basedOn w:val="Normal"/>
    <w:qFormat/>
    <w:pPr>
      <w:spacing w:before="0" w:after="60" w:line="276" w:lineRule="auto"/>
    </w:pPr>
    <w:rPr>
      <w:sz w:val="16"/>
      <w:szCs w:val="16"/>
      <w:color w:val="B08D3F"/>
      <w:b/>
      <w:caps/>
      <w:spacing w:val="30"/>
    </w:rPr>
  </w:style>
  <w:style w:type="paragraph" w:styleId="Dateline">
    <w:name w:val="Dateline"/>
    <w:basedOn w:val="Normal"/>
    <w:qFormat/>
    <w:pPr>
      <w:spacing w:before="0" w:after="280" w:line="276" w:lineRule="auto"/>
    </w:pPr>
    <w:rPr>
      <w:sz w:val="17"/>
      <w:szCs w:val="17"/>
      <w:color w:val="6B6357"/>
    </w:rPr>
  </w:style>
  <w:style w:type="paragraph" w:styleId="Heading1">
    <w:name w:val="heading 1"/>
    <w:basedOn w:val="Normal"/>
    <w:qFormat/>
    <w:pPr>
      <w:spacing w:before="380" w:after="120" w:line="276" w:lineRule="auto"/>
      <w:outlineLvl w:val="0"/>
      <w:keepNext/>
    </w:pPr>
    <w:rPr>
      <w:sz w:val="30"/>
      <w:szCs w:val="30"/>
      <w:color w:val="8A1538"/>
      <w:b/>
    </w:rPr>
  </w:style>
  <w:style w:type="paragraph" w:styleId="Heading2">
    <w:name w:val="heading 2"/>
    <w:basedOn w:val="Normal"/>
    <w:qFormat/>
    <w:pPr>
      <w:spacing w:before="240" w:after="80" w:line="276" w:lineRule="auto"/>
      <w:outlineLvl w:val="1"/>
      <w:keepNext/>
    </w:pPr>
    <w:rPr>
      <w:sz w:val="22"/>
      <w:szCs w:val="22"/>
      <w:color w:val="1F1C18"/>
      <w:b/>
    </w:rPr>
  </w:style>
  <w:style w:type="paragraph" w:styleId="Body">
    <w:name w:val="Body Text"/>
    <w:basedOn w:val="Normal"/>
    <w:qFormat/>
    <w:pPr>
      <w:spacing w:before="0" w:after="140" w:line="276" w:lineRule="auto"/>
    </w:pPr>
    <w:rPr>
      <w:sz w:val="21"/>
      <w:szCs w:val="21"/>
      <w:color w:val="3D382F"/>
    </w:rPr>
  </w:style>
  <w:style w:type="paragraph" w:styleId="Bullet">
    <w:name w:val="List Bullet"/>
    <w:basedOn w:val="Normal"/>
    <w:qFormat/>
    <w:pPr>
      <w:spacing w:before="0" w:after="80" w:line="276" w:lineRule="auto"/>
    </w:pPr>
    <w:rPr>
      <w:sz w:val="21"/>
      <w:szCs w:val="21"/>
      <w:color w:val="3D382F"/>
    </w:rPr>
  </w:style>
  <w:style w:type="paragraph" w:styleId="Cell">
    <w:name w:val="Table Cell"/>
    <w:basedOn w:val="Normal"/>
    <w:qFormat/>
    <w:pPr>
      <w:spacing w:before="0" w:after="0" w:line="240" w:lineRule="auto"/>
    </w:pPr>
    <w:rPr>
      <w:sz w:val="19"/>
      <w:szCs w:val="19"/>
      <w:color w:val="3D382F"/>
    </w:rPr>
  </w:style>
  <w:style w:type="paragraph" w:styleId="Caption">
    <w:name w:val="caption"/>
    <w:basedOn w:val="Normal"/>
    <w:qFormat/>
    <w:pPr>
      <w:spacing w:before="0" w:after="280" w:line="276" w:lineRule="auto"/>
    </w:pPr>
    <w:rPr>
      <w:sz w:val="17"/>
      <w:szCs w:val="17"/>
      <w:color w:val="6B6357"/>
      <w:i/>
    </w:rPr>
  </w:style>
  <w:style w:type="paragraph" w:styleId="Note">
    <w:name w:val="Note"/>
    <w:basedOn w:val="Normal"/>
    <w:qFormat/>
    <w:pPr>
      <w:spacing w:before="80" w:after="200" w:line="276" w:lineRule="auto"/>
    </w:pPr>
    <w:rPr>
      <w:sz w:val="21"/>
      <w:szCs w:val="21"/>
      <w:color w:val="1F1C18"/>
    </w:rPr>
  </w:style>
  <w:style w:type="paragraph" w:styleId="Footnote">
    <w:name w:val="Footnote Text"/>
    <w:basedOn w:val="Normal"/>
    <w:qFormat/>
    <w:pPr>
      <w:spacing w:before="200" w:after="0" w:line="276" w:lineRule="auto"/>
    </w:pPr>
    <w:rPr>
      <w:sz w:val="17"/>
      <w:szCs w:val="17"/>
      <w:color w:val="6B635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Venue booking platform for The Playhouse Company</dc:title>
  <dc:subject>Capability and readiness brief</dc:subject>
  <dcterms:created xsi:type="dcterms:W3CDTF">2026-08-18T00:00:00Z</dcterms:created>
</cp:coreProperties>
</file>