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التقرير السنوي لأنشطة الوكالة برسم سنة 2019</w:t>
      </w:r>
    </w:p>
    <w:p>
      <w:r>
        <w:br w:type="page"/>
      </w:r>
    </w:p>
    <w:p>
      <w:pPr/>
      <w:r>
        <w:rPr/>
        <w:t xml:space="preserve">بلغ عدد رخص البناء المسلمة 1100 رخصة خلال السنة.</w:t>
      </w:r>
    </w:p>
    <w:tbl>
      <w:tblGrid>
        <w:gridCol w:w="4000" w:type="dxa"/>
        <w:gridCol w:w="2000" w:type="dxa"/>
      </w:tblGrid>
      <w:tr>
        <w:trPr/>
        <w:tc>
          <w:tcPr>
            <w:tcW w:w="4000" w:type="dxa"/>
            <w:noWrap/>
          </w:tcPr>
          <w:p>
            <w:pPr/>
            <w:r>
              <w:rPr/>
              <w:t xml:space="preserve">مشاريع التجزئات العقارية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15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2026-10-15T11:22:24+00:00</dcterms:created>
  <dcterms:modified xsi:type="dcterms:W3CDTF">2026-10-15T11:22:24+00:00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