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7A1F3D"/>
          <w:sz w:val="40"/>
          <w:szCs w:val="40"/>
        </w:rPr>
        <w:t xml:space="preserve">Bonifaz-INCMNSZ</w:t>
      </w:r>
    </w:p>
    <w:p>
      <w:pPr>
        <w:pBdr>
          <w:bottom w:val="single" w:color="7A1F3D" w:sz="12" w:space="6"/>
        </w:pBdr>
        <w:spacing w:after="60"/>
      </w:pPr>
      <w:r>
        <w:rPr>
          <w:color w:val="444444"/>
          <w:sz w:val="24"/>
          <w:szCs w:val="24"/>
        </w:rPr>
        <w:t xml:space="preserve">Propuesta para el análisis de bases de datos clínicas con estructura irregular</w:t>
      </w:r>
    </w:p>
    <w:p>
      <w:pPr>
        <w:spacing w:after="200"/>
      </w:pPr>
      <w:r>
        <w:rPr>
          <w:color w:val="444444"/>
          <w:sz w:val="20"/>
          <w:szCs w:val="20"/>
        </w:rPr>
        <w:t xml:space="preserve">Archivo analizado: </w:t>
      </w:r>
      <w:r>
        <w:rPr>
          <w:i/>
          <w:iCs/>
          <w:color w:val="444444"/>
          <w:sz w:val="20"/>
          <w:szCs w:val="20"/>
        </w:rPr>
        <w:t xml:space="preserve">Base_de_datos_clínicos_—_Sangre_periférica.xlsx</w:t>
      </w:r>
    </w:p>
    <w:p>
      <w:pPr>
        <w:pStyle w:val="Heading1"/>
        <w:spacing w:after="120" w:before="260"/>
      </w:pPr>
      <w:r>
        <w:rPr>
          <w:b/>
          <w:bCs/>
          <w:color w:val="7A1F3D"/>
          <w:sz w:val="30"/>
          <w:szCs w:val="30"/>
        </w:rPr>
        <w:t xml:space="preserve">1. Resumen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describe qué se encontró al revisar el archivo de Excel proporcionado y propone una estrategia clara para poder analizar bases de datos clínicas que, como esta, no tienen una estructura rectangular simple (una sola fila de encabezados y datos limpios debajo). La propuesta combina dos partes: (a) un procedimiento manual sencillo que cualquier investigador puede seguir para dejar el archivo listo, y (b) una función de “importación avanzada” que se puede agregar a la aplicación Bonifaz-INCMNSZ para hacer gran parte de este trabajo de forma guiada.</w:t>
      </w:r>
    </w:p>
    <w:p>
      <w:pPr>
        <w:pStyle w:val="Heading1"/>
        <w:spacing w:after="120" w:before="260"/>
      </w:pPr>
      <w:r>
        <w:rPr>
          <w:b/>
          <w:bCs/>
          <w:color w:val="7A1F3D"/>
          <w:sz w:val="30"/>
          <w:szCs w:val="30"/>
        </w:rPr>
        <w:t xml:space="preserve">2. Qué se encontró en el archivo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El archivo contiene cinco hojas, con propósitos distintos: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2300"/>
      </w:tblGrid>
      <w:tr>
        <w:trPr>
          <w:tblHeader/>
        </w:trPr>
        <w:tc>
          <w:tcPr>
            <w:tcW w:type="dxa" w:w="2400"/>
            <w:shd w:fill="7A1F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Hoja</w:t>
            </w:r>
          </w:p>
        </w:tc>
        <w:tc>
          <w:tcPr>
            <w:tcW w:type="dxa" w:w="4300"/>
            <w:shd w:fill="7A1F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2300"/>
            <w:shd w:fill="7A1F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AR-Base de Datos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~86 pacientes y 200 variables clínicas</w:t>
            </w:r>
          </w:p>
        </w:tc>
        <w:tc>
          <w:tcPr>
            <w:tcW w:type="dxa" w:w="2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Datos principales</w:t>
            </w:r>
          </w:p>
        </w:tc>
      </w:tr>
      <w:tr>
        <w:tc>
          <w:tcPr>
            <w:tcW w:type="dxa" w:w="2400"/>
            <w:shd w:fill="F4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Gráficas</w:t>
            </w:r>
          </w:p>
        </w:tc>
        <w:tc>
          <w:tcPr>
            <w:tcW w:type="dxa" w:w="4300"/>
            <w:shd w:fill="F4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Gráficas ya incrustadas</w:t>
            </w:r>
          </w:p>
        </w:tc>
        <w:tc>
          <w:tcPr>
            <w:tcW w:type="dxa" w:w="2300"/>
            <w:shd w:fill="F4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Solo visualización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AR-Basales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Tabla reducida (valores basales)</w:t>
            </w:r>
          </w:p>
        </w:tc>
        <w:tc>
          <w:tcPr>
            <w:tcW w:type="dxa" w:w="2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Subconjunto / resumen</w:t>
            </w:r>
          </w:p>
        </w:tc>
      </w:tr>
      <w:tr>
        <w:tc>
          <w:tcPr>
            <w:tcW w:type="dxa" w:w="2400"/>
            <w:shd w:fill="F4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Inventario de muestras</w:t>
            </w:r>
          </w:p>
        </w:tc>
        <w:tc>
          <w:tcPr>
            <w:tcW w:type="dxa" w:w="4300"/>
            <w:shd w:fill="F4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Registro de muestras (hasta 113 columnas)</w:t>
            </w:r>
          </w:p>
        </w:tc>
        <w:tc>
          <w:tcPr>
            <w:tcW w:type="dxa" w:w="2300"/>
            <w:shd w:fill="F4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Logística de laboratorio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Claves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Diccionario de códigos (ej. Sexo: 0 = Femenino)</w:t>
            </w:r>
          </w:p>
        </w:tc>
        <w:tc>
          <w:tcPr>
            <w:tcW w:type="dxa" w:w="2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Catálogo / leyenda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sz w:val="22"/>
          <w:szCs w:val="22"/>
        </w:rPr>
        <w:t xml:space="preserve">El principal reto está en la hoja </w:t>
      </w:r>
      <w:r>
        <w:rPr>
          <w:b/>
          <w:bCs/>
          <w:sz w:val="22"/>
          <w:szCs w:val="22"/>
        </w:rPr>
        <w:t xml:space="preserve">AR-Base de Datos</w:t>
      </w:r>
      <w:r>
        <w:rPr>
          <w:sz w:val="22"/>
          <w:szCs w:val="22"/>
        </w:rPr>
        <w:t xml:space="preserve">. No es que “no tenga orden”, sino que su orden es </w:t>
      </w:r>
      <w:r>
        <w:rPr>
          <w:b/>
          <w:bCs/>
          <w:sz w:val="22"/>
          <w:szCs w:val="22"/>
        </w:rPr>
        <w:t xml:space="preserve">jerárquico y de varios niveles</w:t>
      </w:r>
      <w:r>
        <w:rPr>
          <w:sz w:val="22"/>
          <w:szCs w:val="22"/>
        </w:rPr>
        <w:t xml:space="preserve">, algo muy común en las bases clínicas reales. En concreto: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sz w:val="22"/>
          <w:szCs w:val="22"/>
        </w:rPr>
        <w:t xml:space="preserve">La columna A está vacía (funciona como margen), así que los datos empiezan en la columna B.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sz w:val="22"/>
          <w:szCs w:val="22"/>
        </w:rPr>
        <w:t xml:space="preserve">Los encabezados ocupan </w:t>
      </w:r>
      <w:r>
        <w:rPr>
          <w:b/>
          <w:bCs/>
          <w:sz w:val="22"/>
          <w:szCs w:val="22"/>
        </w:rPr>
        <w:t xml:space="preserve">tres filas</w:t>
      </w:r>
      <w:r>
        <w:rPr>
          <w:sz w:val="22"/>
          <w:szCs w:val="22"/>
        </w:rPr>
        <w:t xml:space="preserve"> (filas 2, 3 y 4), no una sola:</w:t>
      </w:r>
    </w:p>
    <w:p>
      <w:pPr>
        <w:pStyle w:val="ListParagraph"/>
        <w:numPr>
          <w:ilvl w:val="0"/>
          <w:numId w:val="2"/>
        </w:numPr>
        <w:spacing w:after="40"/>
        <w:ind w:left="900"/>
      </w:pPr>
      <w:r>
        <w:rPr>
          <w:sz w:val="22"/>
          <w:szCs w:val="22"/>
        </w:rPr>
        <w:t xml:space="preserve">Fila 2 = gran categoría (ej. “Ficha de Identificación”, “Pre acondicionamiento”).</w:t>
      </w:r>
    </w:p>
    <w:p>
      <w:pPr>
        <w:pStyle w:val="ListParagraph"/>
        <w:numPr>
          <w:ilvl w:val="0"/>
          <w:numId w:val="2"/>
        </w:numPr>
        <w:spacing w:after="40"/>
        <w:ind w:left="900"/>
      </w:pPr>
      <w:r>
        <w:rPr>
          <w:sz w:val="22"/>
          <w:szCs w:val="22"/>
        </w:rPr>
        <w:t xml:space="preserve">Fila 3 = subcategoría (ej. “Diagnóstico de AR”, “Comorbilidades”, “Toma de muestra”).</w:t>
      </w:r>
    </w:p>
    <w:p>
      <w:pPr>
        <w:pStyle w:val="ListParagraph"/>
        <w:numPr>
          <w:ilvl w:val="0"/>
          <w:numId w:val="2"/>
        </w:numPr>
        <w:spacing w:after="80"/>
        <w:ind w:left="900"/>
      </w:pPr>
      <w:r>
        <w:rPr>
          <w:sz w:val="22"/>
          <w:szCs w:val="22"/>
        </w:rPr>
        <w:t xml:space="preserve">Fila 4 = el nombre real de cada variable (ej. “ID interno”, “Sexo”, “DAS28_0”, “PCR_0 (mg/dL)”).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sz w:val="22"/>
          <w:szCs w:val="22"/>
        </w:rPr>
        <w:t xml:space="preserve">Varias de esas celdas de encabezado están </w:t>
      </w:r>
      <w:r>
        <w:rPr>
          <w:b/>
          <w:bCs/>
          <w:sz w:val="22"/>
          <w:szCs w:val="22"/>
        </w:rPr>
        <w:t xml:space="preserve">combinadas (merged)</w:t>
      </w:r>
      <w:r>
        <w:rPr>
          <w:sz w:val="22"/>
          <w:szCs w:val="22"/>
        </w:rPr>
        <w:t xml:space="preserve">, lo que deja huecos cuando el archivo se lee de forma automática.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sz w:val="22"/>
          <w:szCs w:val="22"/>
        </w:rPr>
        <w:t xml:space="preserve">Los datos reales empiezan en la </w:t>
      </w:r>
      <w:r>
        <w:rPr>
          <w:b/>
          <w:bCs/>
          <w:sz w:val="22"/>
          <w:szCs w:val="22"/>
        </w:rPr>
        <w:t xml:space="preserve">fila 5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sz w:val="22"/>
          <w:szCs w:val="22"/>
        </w:rPr>
        <w:t xml:space="preserve">Algunos identificadores traen anotaciones dentro de la misma celda (ej. “AR-A19 preATNF”, “AR-A20 (AR-B5)”), que conviene separar.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sz w:val="22"/>
          <w:szCs w:val="22"/>
        </w:rPr>
        <w:t xml:space="preserve">Muchos valores están </w:t>
      </w:r>
      <w:r>
        <w:rPr>
          <w:b/>
          <w:bCs/>
          <w:sz w:val="22"/>
          <w:szCs w:val="22"/>
        </w:rPr>
        <w:t xml:space="preserve">codificados</w:t>
      </w:r>
      <w:r>
        <w:rPr>
          <w:sz w:val="22"/>
          <w:szCs w:val="22"/>
        </w:rPr>
        <w:t xml:space="preserve"> (0/1/2…) y su significado vive en la hoja </w:t>
      </w:r>
      <w:r>
        <w:rPr>
          <w:i/>
          <w:iCs/>
          <w:sz w:val="22"/>
          <w:szCs w:val="22"/>
        </w:rPr>
        <w:t xml:space="preserve">Claves</w:t>
      </w:r>
      <w:r>
        <w:rPr>
          <w:sz w:val="22"/>
          <w:szCs w:val="22"/>
        </w:rPr>
        <w:t xml:space="preserve">, que además distingue entre “claves previas” y “claves actuales”.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Por eso, si este archivo se sube tal cual a una herramienta que espera </w:t>
      </w:r>
      <w:r>
        <w:rPr>
          <w:b/>
          <w:bCs/>
          <w:sz w:val="22"/>
          <w:szCs w:val="22"/>
        </w:rPr>
        <w:t xml:space="preserve">una sola fila de encabezados</w:t>
      </w:r>
      <w:r>
        <w:rPr>
          <w:sz w:val="22"/>
          <w:szCs w:val="22"/>
        </w:rPr>
        <w:t xml:space="preserve"> (como la app en su forma actual), los nombres de las columnas salen incompletos o repetidos y las primeras filas se confunden con datos.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7A1F3D"/>
          <w:sz w:val="30"/>
          <w:szCs w:val="30"/>
        </w:rPr>
        <w:t xml:space="preserve">3. Propuesta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idea central es separar claramente dos cosas que hoy están mezcladas en la misma hoja: la </w:t>
      </w:r>
      <w:r>
        <w:rPr>
          <w:b/>
          <w:bCs/>
          <w:sz w:val="22"/>
          <w:szCs w:val="22"/>
        </w:rPr>
        <w:t xml:space="preserve">“capa de presentación”</w:t>
      </w:r>
      <w:r>
        <w:rPr>
          <w:sz w:val="22"/>
          <w:szCs w:val="22"/>
        </w:rPr>
        <w:t xml:space="preserve"> (encabezados jerárquicos, celdas combinadas, columnas de margen, colores) y la </w:t>
      </w:r>
      <w:r>
        <w:rPr>
          <w:b/>
          <w:bCs/>
          <w:sz w:val="22"/>
          <w:szCs w:val="22"/>
        </w:rPr>
        <w:t xml:space="preserve">“capa de datos”</w:t>
      </w:r>
      <w:r>
        <w:rPr>
          <w:sz w:val="22"/>
          <w:szCs w:val="22"/>
        </w:rPr>
        <w:t xml:space="preserve"> (una tabla limpia, con una fila por paciente/muestra y una sola fila de nombres de variable). El análisis siempre debe hacerse sobre la capa de datos.</w:t>
      </w:r>
    </w:p>
    <w:p>
      <w:pPr>
        <w:pStyle w:val="Heading2"/>
        <w:spacing w:after="90" w:before="200"/>
      </w:pPr>
      <w:r>
        <w:rPr>
          <w:b/>
          <w:bCs/>
          <w:color w:val="7A1F3D"/>
          <w:sz w:val="25"/>
          <w:szCs w:val="25"/>
        </w:rPr>
        <w:t xml:space="preserve">3.1 Procedimiento manual (rápido, sin programar)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Para dejar lista la hoja principal antes de subirla a la aplicación:</w:t>
      </w:r>
    </w:p>
    <w:p>
      <w:pPr>
        <w:pStyle w:val="ListParagraph"/>
        <w:numPr>
          <w:ilvl w:val="0"/>
          <w:numId w:val="3"/>
        </w:numPr>
        <w:spacing w:after="90" w:line="270"/>
        <w:jc w:val="both"/>
      </w:pPr>
      <w:r>
        <w:rPr>
          <w:sz w:val="22"/>
          <w:szCs w:val="22"/>
        </w:rPr>
        <w:t xml:space="preserve">Duplica la hoja </w:t>
      </w:r>
      <w:r>
        <w:rPr>
          <w:i/>
          <w:iCs/>
          <w:sz w:val="22"/>
          <w:szCs w:val="22"/>
        </w:rPr>
        <w:t xml:space="preserve">AR-Base de Datos</w:t>
      </w:r>
      <w:r>
        <w:rPr>
          <w:sz w:val="22"/>
          <w:szCs w:val="22"/>
        </w:rPr>
        <w:t xml:space="preserve"> para no modificar el original.</w:t>
      </w:r>
    </w:p>
    <w:p>
      <w:pPr>
        <w:pStyle w:val="ListParagraph"/>
        <w:numPr>
          <w:ilvl w:val="0"/>
          <w:numId w:val="3"/>
        </w:numPr>
        <w:spacing w:after="90" w:line="270"/>
        <w:jc w:val="both"/>
      </w:pPr>
      <w:r>
        <w:rPr>
          <w:sz w:val="22"/>
          <w:szCs w:val="22"/>
        </w:rPr>
        <w:t xml:space="preserve">Combina las tres filas de encabezado en una sola. La forma práctica: quédate con la fila 4 (los nombres reales de variable) como encabezado único; si un nombre resulta ambiguo, antepón su subcategoría (ej. “Comorbilidades — Tabaquismo”).</w:t>
      </w:r>
    </w:p>
    <w:p>
      <w:pPr>
        <w:pStyle w:val="ListParagraph"/>
        <w:numPr>
          <w:ilvl w:val="0"/>
          <w:numId w:val="3"/>
        </w:numPr>
        <w:spacing w:after="90" w:line="270"/>
        <w:jc w:val="both"/>
      </w:pPr>
      <w:r>
        <w:rPr>
          <w:sz w:val="22"/>
          <w:szCs w:val="22"/>
        </w:rPr>
        <w:t xml:space="preserve">Borra las filas de encabezado sobrantes (2 y 3) y la columna A (vacía), de modo que la tabla empiece en A1 con los nombres y en A2 con el primer paciente.</w:t>
      </w:r>
    </w:p>
    <w:p>
      <w:pPr>
        <w:pStyle w:val="ListParagraph"/>
        <w:numPr>
          <w:ilvl w:val="0"/>
          <w:numId w:val="3"/>
        </w:numPr>
        <w:spacing w:after="90" w:line="270"/>
        <w:jc w:val="both"/>
      </w:pPr>
      <w:r>
        <w:rPr>
          <w:sz w:val="22"/>
          <w:szCs w:val="22"/>
        </w:rPr>
        <w:t xml:space="preserve">Separa las anotaciones que estén dentro de la celda de ID en su propia columna (ej. una columna “ID” y otra “Nota”).</w:t>
      </w:r>
    </w:p>
    <w:p>
      <w:pPr>
        <w:pStyle w:val="ListParagraph"/>
        <w:numPr>
          <w:ilvl w:val="0"/>
          <w:numId w:val="3"/>
        </w:numPr>
        <w:spacing w:after="90" w:line="270"/>
        <w:jc w:val="both"/>
      </w:pPr>
      <w:r>
        <w:rPr>
          <w:sz w:val="22"/>
          <w:szCs w:val="22"/>
        </w:rPr>
        <w:t xml:space="preserve">Guarda esa hoja limpia como un archivo nuevo (CSV o XLSX de una sola hoja) y súbelo a la aplicación.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Regla general para el futuro: </w:t>
      </w:r>
      <w:r>
        <w:rPr>
          <w:sz w:val="22"/>
          <w:szCs w:val="22"/>
        </w:rPr>
        <w:t xml:space="preserve">una fila = un sujeto (o una muestra), una columna = una variable, una sola fila de encabezados, y sin celdas combinadas dentro de la tabla de datos.</w:t>
      </w:r>
    </w:p>
    <w:p>
      <w:pPr>
        <w:pStyle w:val="Heading2"/>
        <w:spacing w:after="90" w:before="200"/>
      </w:pPr>
      <w:r>
        <w:rPr>
          <w:b/>
          <w:bCs/>
          <w:color w:val="7A1F3D"/>
          <w:sz w:val="25"/>
          <w:szCs w:val="25"/>
        </w:rPr>
        <w:t xml:space="preserve">3.2 Función de “importación avanzada” en la app (recomendada)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Para que los investigadores no tengan que hacer lo anterior a mano cada vez, se propone agregar al paso de carga de la aplicación un modo avanzado, guiado con las mismas preguntas sencillas del resto de Bonifaz-INCMNSZ. Preguntaría, paso a paso: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  <w:sz w:val="22"/>
          <w:szCs w:val="22"/>
        </w:rPr>
        <w:t xml:space="preserve">¿Qué hoja quieres analizar?</w:t>
      </w:r>
      <w:r>
        <w:rPr>
          <w:sz w:val="22"/>
          <w:szCs w:val="22"/>
        </w:rPr>
        <w:t xml:space="preserve">  (lista desplegable con las hojas del archivo).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  <w:sz w:val="22"/>
          <w:szCs w:val="22"/>
        </w:rPr>
        <w:t xml:space="preserve">¿En qué fila están los nombres de las columnas?</w:t>
      </w:r>
      <w:r>
        <w:rPr>
          <w:sz w:val="22"/>
          <w:szCs w:val="22"/>
        </w:rPr>
        <w:t xml:space="preserve">  con una vista previa de las primeras filas para elegirla a simple vista (aquí, la fila 4).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  <w:sz w:val="22"/>
          <w:szCs w:val="22"/>
        </w:rPr>
        <w:t xml:space="preserve">¿Cuántas filas de encabezado hay que combinar?</w:t>
      </w:r>
      <w:r>
        <w:rPr>
          <w:sz w:val="22"/>
          <w:szCs w:val="22"/>
        </w:rPr>
        <w:t xml:space="preserve">  para unir automáticamente categoría + subcategoría + variable en un solo nombre.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  <w:sz w:val="22"/>
          <w:szCs w:val="22"/>
        </w:rPr>
        <w:t xml:space="preserve">¿En qué fila empiezan los datos?</w:t>
      </w:r>
      <w:r>
        <w:rPr>
          <w:sz w:val="22"/>
          <w:szCs w:val="22"/>
        </w:rPr>
        <w:t xml:space="preserve">  (aquí, la fila 5).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  <w:sz w:val="22"/>
          <w:szCs w:val="22"/>
        </w:rPr>
        <w:t xml:space="preserve">Rellenar automáticamente los huecos de las celdas combinadas</w:t>
      </w:r>
      <w:r>
        <w:rPr>
          <w:sz w:val="22"/>
          <w:szCs w:val="22"/>
        </w:rPr>
        <w:t xml:space="preserve">, quitar columnas y filas totalmente vacías, y limpiar los nombres (algo que la app ya sabe hacer en su paso de limpieza).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sz w:val="22"/>
          <w:szCs w:val="22"/>
        </w:rPr>
        <w:t xml:space="preserve">Decodificar valores con la hoja </w:t>
      </w:r>
      <w:r>
        <w:rPr>
          <w:b/>
          <w:bCs/>
          <w:i/>
          <w:iCs/>
          <w:sz w:val="22"/>
          <w:szCs w:val="22"/>
        </w:rPr>
        <w:t xml:space="preserve">Claves</w:t>
      </w:r>
      <w:r>
        <w:rPr>
          <w:sz w:val="22"/>
          <w:szCs w:val="22"/>
        </w:rPr>
        <w:t xml:space="preserve">  (opcional): traducir 0/1/2 a sus etiquetas (“Femenino”, “Masculino”, etc.) para que las gráficas y tablas se lean mejor.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El resultado de ese modo avanzado sería exactamente la “capa de datos” limpia, que entra sin cambios al resto del flujo actual (vista previa → limpieza → análisis → gráficas → reporte).</w:t>
      </w:r>
    </w:p>
    <w:p>
      <w:pPr>
        <w:pStyle w:val="Heading1"/>
        <w:spacing w:after="120" w:before="260"/>
      </w:pPr>
      <w:r>
        <w:rPr>
          <w:b/>
          <w:bCs/>
          <w:color w:val="7A1F3D"/>
          <w:sz w:val="30"/>
          <w:szCs w:val="30"/>
        </w:rPr>
        <w:t xml:space="preserve">4. Recomendaciones de buenas prácticas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Para que las próximas capturas sean más fáciles de analizar (sin perder la riqueza clínica del formato actual, que es útil para leerlo con la vista):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sz w:val="22"/>
          <w:szCs w:val="22"/>
        </w:rPr>
        <w:t xml:space="preserve">Mantener dos versiones: una “bonita” para leer (con sus categorías y colores) y una “plana” para analizar (una fila de encabezados, sin celdas combinadas).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sz w:val="22"/>
          <w:szCs w:val="22"/>
        </w:rPr>
        <w:t xml:space="preserve">Evitar meter dos datos en una misma celda (ej. el ID y una nota juntos); mejor una columna por dato.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sz w:val="22"/>
          <w:szCs w:val="22"/>
        </w:rPr>
        <w:t xml:space="preserve">Usar códigos de faltante consistentes (una celda vacía o “NA”), en lugar de “-”, “N/A”, “sin dato” mezclados.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sz w:val="22"/>
          <w:szCs w:val="22"/>
        </w:rPr>
        <w:t xml:space="preserve">Conservar la hoja </w:t>
      </w:r>
      <w:r>
        <w:rPr>
          <w:i/>
          <w:iCs/>
          <w:sz w:val="22"/>
          <w:szCs w:val="22"/>
        </w:rPr>
        <w:t xml:space="preserve">Claves</w:t>
      </w:r>
      <w:r>
        <w:rPr>
          <w:sz w:val="22"/>
          <w:szCs w:val="22"/>
        </w:rPr>
        <w:t xml:space="preserve"> como catálogo oficial y, de ser posible, unificar “claves previas” y “claves actuales” para evitar ambigüedad.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sz w:val="22"/>
          <w:szCs w:val="22"/>
        </w:rPr>
        <w:t xml:space="preserve">Fechas en un formato único (ej. AAAA-MM-DD) para que se interpreten siempre igual.</w:t>
      </w:r>
    </w:p>
    <w:p>
      <w:pPr>
        <w:pStyle w:val="Heading1"/>
        <w:spacing w:after="120" w:before="260"/>
      </w:pPr>
      <w:r>
        <w:rPr>
          <w:b/>
          <w:bCs/>
          <w:color w:val="7A1F3D"/>
          <w:sz w:val="30"/>
          <w:szCs w:val="30"/>
        </w:rPr>
        <w:t xml:space="preserve">5. Siguientes pasos sugeridos</w:t>
      </w:r>
    </w:p>
    <w:p>
      <w:pPr>
        <w:pStyle w:val="ListParagraph"/>
        <w:numPr>
          <w:ilvl w:val="0"/>
          <w:numId w:val="3"/>
        </w:numPr>
        <w:spacing w:after="90" w:line="270"/>
        <w:jc w:val="both"/>
      </w:pPr>
      <w:r>
        <w:rPr>
          <w:sz w:val="22"/>
          <w:szCs w:val="22"/>
        </w:rPr>
        <w:t xml:space="preserve">Confirmar que la hoja </w:t>
      </w:r>
      <w:r>
        <w:rPr>
          <w:i/>
          <w:iCs/>
          <w:sz w:val="22"/>
          <w:szCs w:val="22"/>
        </w:rPr>
        <w:t xml:space="preserve">AR-Base de Datos</w:t>
      </w:r>
      <w:r>
        <w:rPr>
          <w:sz w:val="22"/>
          <w:szCs w:val="22"/>
        </w:rPr>
        <w:t xml:space="preserve"> es la que se quiere analizar primero (y si interesa también “Inventario de muestras”).</w:t>
      </w:r>
    </w:p>
    <w:p>
      <w:pPr>
        <w:pStyle w:val="ListParagraph"/>
        <w:numPr>
          <w:ilvl w:val="0"/>
          <w:numId w:val="3"/>
        </w:numPr>
        <w:spacing w:after="90" w:line="270"/>
        <w:jc w:val="both"/>
      </w:pPr>
      <w:r>
        <w:rPr>
          <w:sz w:val="22"/>
          <w:szCs w:val="22"/>
        </w:rPr>
        <w:t xml:space="preserve">Si te parece bien, implemento el </w:t>
      </w:r>
      <w:r>
        <w:rPr>
          <w:b/>
          <w:bCs/>
          <w:sz w:val="22"/>
          <w:szCs w:val="22"/>
        </w:rPr>
        <w:t xml:space="preserve">modo de importación avanzada</w:t>
      </w:r>
      <w:r>
        <w:rPr>
          <w:sz w:val="22"/>
          <w:szCs w:val="22"/>
        </w:rPr>
        <w:t xml:space="preserve"> en la aplicación para leer directamente este tipo de archivos (elegir hoja, combinar encabezados de varias filas, definir fila de inicio y decodificar con </w:t>
      </w:r>
      <w:r>
        <w:rPr>
          <w:i/>
          <w:iCs/>
          <w:sz w:val="22"/>
          <w:szCs w:val="22"/>
        </w:rPr>
        <w:t xml:space="preserve">Claves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90" w:line="270"/>
        <w:jc w:val="both"/>
      </w:pPr>
      <w:r>
        <w:rPr>
          <w:sz w:val="22"/>
          <w:szCs w:val="22"/>
        </w:rPr>
        <w:t xml:space="preserve">Como alternativa inmediata, puedo entregarte ya una versión </w:t>
      </w:r>
      <w:r>
        <w:rPr>
          <w:b/>
          <w:bCs/>
          <w:sz w:val="22"/>
          <w:szCs w:val="22"/>
        </w:rPr>
        <w:t xml:space="preserve">plana y lista para analizar</w:t>
      </w:r>
      <w:r>
        <w:rPr>
          <w:sz w:val="22"/>
          <w:szCs w:val="22"/>
        </w:rPr>
        <w:t xml:space="preserve"> de la hoja principal, para que la subas a la app tal como está hoy.</w:t>
      </w:r>
    </w:p>
    <w:p>
      <w:pPr>
        <w:pBdr>
          <w:top w:val="single" w:color="CCCCCC" w:sz="6" w:space="6"/>
        </w:pBdr>
        <w:spacing w:before="240"/>
      </w:pPr>
      <w:r>
        <w:rPr>
          <w:i/>
          <w:iCs/>
          <w:color w:val="999999"/>
          <w:sz w:val="16"/>
          <w:szCs w:val="16"/>
        </w:rPr>
        <w:t xml:space="preserve">Documento de apoyo · Bonifaz-INCMNSZ · Instituto Nacional de Ciencias Médicas y Nutrición Salvador Zubirán</w:t>
      </w:r>
    </w:p>
    <w:sectPr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7A1F3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7A1F3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2026-07-07T22:53:28.110Z</dcterms:created>
  <dcterms:modified xsi:type="dcterms:W3CDTF">2026-07-07T22:53:28.110Z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