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E41CB" w14:textId="77777777" w:rsidR="00537191" w:rsidRPr="00537191" w:rsidRDefault="00537191" w:rsidP="00537191">
      <w:pPr>
        <w:spacing w:before="100" w:beforeAutospacing="1" w:after="100" w:afterAutospacing="1" w:line="240" w:lineRule="auto"/>
        <w:outlineLvl w:val="1"/>
        <w:rPr>
          <w:b/>
          <w:bCs/>
          <w:sz w:val="36"/>
          <w:szCs w:val="36"/>
        </w:rPr>
      </w:pPr>
      <w:r w:rsidRPr="00537191">
        <w:rPr>
          <w:b/>
          <w:bCs/>
          <w:sz w:val="36"/>
          <w:szCs w:val="36"/>
        </w:rPr>
        <w:t>Supplementary Materials for</w:t>
      </w:r>
      <w:r w:rsidR="007F181C">
        <w:rPr>
          <w:b/>
          <w:bCs/>
          <w:sz w:val="36"/>
          <w:szCs w:val="36"/>
        </w:rPr>
        <w:t xml:space="preserve"> “</w:t>
      </w:r>
      <w:r w:rsidRPr="00537191">
        <w:rPr>
          <w:b/>
          <w:bCs/>
          <w:sz w:val="36"/>
          <w:szCs w:val="36"/>
        </w:rPr>
        <w:t>Responding to the local emergence of partial artemisinin resistance in northwest Tanzania: a modelling study</w:t>
      </w:r>
      <w:r w:rsidR="007F181C">
        <w:rPr>
          <w:b/>
          <w:bCs/>
          <w:sz w:val="36"/>
          <w:szCs w:val="36"/>
        </w:rPr>
        <w:t>”</w:t>
      </w:r>
    </w:p>
    <w:p w14:paraId="085EB7CE" w14:textId="77777777" w:rsidR="007F181C" w:rsidRDefault="007F181C" w:rsidP="00537191">
      <w:pPr>
        <w:spacing w:before="100" w:beforeAutospacing="1" w:after="100" w:afterAutospacing="1" w:line="240" w:lineRule="auto"/>
        <w:outlineLvl w:val="1"/>
        <w:rPr>
          <w:rFonts w:eastAsia="Times New Roman" w:cs="Times New Roman"/>
          <w:b/>
          <w:bCs/>
          <w:kern w:val="0"/>
          <w:sz w:val="36"/>
          <w:szCs w:val="36"/>
          <w14:ligatures w14:val="none"/>
        </w:rPr>
      </w:pPr>
    </w:p>
    <w:p w14:paraId="34BE1003" w14:textId="77777777" w:rsidR="00537191" w:rsidRPr="00262123" w:rsidRDefault="00537191" w:rsidP="00537191">
      <w:pPr>
        <w:spacing w:before="100" w:beforeAutospacing="1" w:after="100" w:afterAutospacing="1" w:line="240" w:lineRule="auto"/>
        <w:outlineLvl w:val="1"/>
        <w:rPr>
          <w:rFonts w:eastAsia="Times New Roman" w:cs="Times New Roman"/>
          <w:b/>
          <w:bCs/>
          <w:kern w:val="0"/>
          <w:sz w:val="36"/>
          <w:szCs w:val="36"/>
          <w14:ligatures w14:val="none"/>
        </w:rPr>
      </w:pPr>
      <w:r w:rsidRPr="00262123">
        <w:rPr>
          <w:rFonts w:eastAsia="Times New Roman" w:cs="Times New Roman"/>
          <w:b/>
          <w:bCs/>
          <w:kern w:val="0"/>
          <w:sz w:val="36"/>
          <w:szCs w:val="36"/>
          <w14:ligatures w14:val="none"/>
        </w:rPr>
        <w:t>Table of Contents</w:t>
      </w:r>
    </w:p>
    <w:p w14:paraId="7A790313" w14:textId="77777777" w:rsidR="00537191" w:rsidRPr="00262123" w:rsidRDefault="00537191" w:rsidP="00537191">
      <w:pPr>
        <w:spacing w:before="100" w:beforeAutospacing="1" w:after="100" w:afterAutospacing="1" w:line="240" w:lineRule="auto"/>
        <w:outlineLvl w:val="2"/>
        <w:rPr>
          <w:rFonts w:eastAsia="Times New Roman" w:cs="Times New Roman"/>
          <w:b/>
          <w:bCs/>
          <w:kern w:val="0"/>
          <w:sz w:val="27"/>
          <w:szCs w:val="27"/>
          <w14:ligatures w14:val="none"/>
        </w:rPr>
      </w:pPr>
      <w:r w:rsidRPr="00262123">
        <w:rPr>
          <w:rFonts w:eastAsia="Times New Roman" w:cs="Times New Roman"/>
          <w:b/>
          <w:bCs/>
          <w:kern w:val="0"/>
          <w:sz w:val="27"/>
          <w:szCs w:val="27"/>
          <w14:ligatures w14:val="none"/>
        </w:rPr>
        <w:t>S</w:t>
      </w:r>
      <w:r>
        <w:rPr>
          <w:rFonts w:eastAsia="Times New Roman" w:cs="Times New Roman"/>
          <w:b/>
          <w:bCs/>
          <w:kern w:val="0"/>
          <w:sz w:val="27"/>
          <w:szCs w:val="27"/>
          <w14:ligatures w14:val="none"/>
        </w:rPr>
        <w:t>1</w:t>
      </w:r>
      <w:r w:rsidRPr="00262123">
        <w:rPr>
          <w:rFonts w:eastAsia="Times New Roman" w:cs="Times New Roman"/>
          <w:b/>
          <w:bCs/>
          <w:kern w:val="0"/>
          <w:sz w:val="27"/>
          <w:szCs w:val="27"/>
          <w14:ligatures w14:val="none"/>
        </w:rPr>
        <w:t xml:space="preserve">. Supplementary </w:t>
      </w:r>
      <w:r>
        <w:rPr>
          <w:rFonts w:eastAsia="Times New Roman" w:cs="Times New Roman"/>
          <w:b/>
          <w:bCs/>
          <w:kern w:val="0"/>
          <w:sz w:val="27"/>
          <w:szCs w:val="27"/>
          <w14:ligatures w14:val="none"/>
        </w:rPr>
        <w:t>Methods</w:t>
      </w:r>
    </w:p>
    <w:p w14:paraId="0F77F4C1" w14:textId="77777777" w:rsidR="00537191" w:rsidRPr="00262123" w:rsidRDefault="00537191" w:rsidP="00537191">
      <w:pPr>
        <w:spacing w:before="100" w:beforeAutospacing="1" w:after="100" w:afterAutospacing="1" w:line="240" w:lineRule="auto"/>
        <w:outlineLvl w:val="2"/>
        <w:rPr>
          <w:rFonts w:eastAsia="Times New Roman" w:cs="Times New Roman"/>
          <w:b/>
          <w:bCs/>
          <w:kern w:val="0"/>
          <w:sz w:val="27"/>
          <w:szCs w:val="27"/>
          <w14:ligatures w14:val="none"/>
        </w:rPr>
      </w:pPr>
      <w:r w:rsidRPr="00262123">
        <w:rPr>
          <w:rFonts w:eastAsia="Times New Roman" w:cs="Times New Roman"/>
          <w:b/>
          <w:bCs/>
          <w:kern w:val="0"/>
          <w:sz w:val="27"/>
          <w:szCs w:val="27"/>
          <w14:ligatures w14:val="none"/>
        </w:rPr>
        <w:t>S</w:t>
      </w:r>
      <w:r>
        <w:rPr>
          <w:rFonts w:eastAsia="Times New Roman" w:cs="Times New Roman"/>
          <w:b/>
          <w:bCs/>
          <w:kern w:val="0"/>
          <w:sz w:val="27"/>
          <w:szCs w:val="27"/>
          <w14:ligatures w14:val="none"/>
        </w:rPr>
        <w:t>2</w:t>
      </w:r>
      <w:r w:rsidRPr="00262123">
        <w:rPr>
          <w:rFonts w:eastAsia="Times New Roman" w:cs="Times New Roman"/>
          <w:b/>
          <w:bCs/>
          <w:kern w:val="0"/>
          <w:sz w:val="27"/>
          <w:szCs w:val="27"/>
          <w14:ligatures w14:val="none"/>
        </w:rPr>
        <w:t>. Supplementary Figures</w:t>
      </w:r>
    </w:p>
    <w:p w14:paraId="07F5458A" w14:textId="77777777" w:rsidR="00537191" w:rsidRPr="00262123" w:rsidRDefault="00537191" w:rsidP="00537191">
      <w:pPr>
        <w:spacing w:before="100" w:beforeAutospacing="1" w:after="100" w:afterAutospacing="1" w:line="240" w:lineRule="auto"/>
        <w:outlineLvl w:val="2"/>
        <w:rPr>
          <w:rFonts w:eastAsia="Times New Roman" w:cs="Times New Roman"/>
          <w:b/>
          <w:bCs/>
          <w:kern w:val="0"/>
          <w:sz w:val="27"/>
          <w:szCs w:val="27"/>
          <w14:ligatures w14:val="none"/>
        </w:rPr>
      </w:pPr>
      <w:r w:rsidRPr="00262123">
        <w:rPr>
          <w:rFonts w:eastAsia="Times New Roman" w:cs="Times New Roman"/>
          <w:b/>
          <w:bCs/>
          <w:kern w:val="0"/>
          <w:sz w:val="27"/>
          <w:szCs w:val="27"/>
          <w14:ligatures w14:val="none"/>
        </w:rPr>
        <w:t>S</w:t>
      </w:r>
      <w:r>
        <w:rPr>
          <w:rFonts w:eastAsia="Times New Roman" w:cs="Times New Roman"/>
          <w:b/>
          <w:bCs/>
          <w:kern w:val="0"/>
          <w:sz w:val="27"/>
          <w:szCs w:val="27"/>
          <w14:ligatures w14:val="none"/>
        </w:rPr>
        <w:t>3</w:t>
      </w:r>
      <w:r w:rsidRPr="00262123">
        <w:rPr>
          <w:rFonts w:eastAsia="Times New Roman" w:cs="Times New Roman"/>
          <w:b/>
          <w:bCs/>
          <w:kern w:val="0"/>
          <w:sz w:val="27"/>
          <w:szCs w:val="27"/>
          <w14:ligatures w14:val="none"/>
        </w:rPr>
        <w:t xml:space="preserve">. </w:t>
      </w:r>
      <w:r>
        <w:rPr>
          <w:rFonts w:eastAsia="Times New Roman" w:cs="Times New Roman"/>
          <w:b/>
          <w:bCs/>
          <w:kern w:val="0"/>
          <w:sz w:val="27"/>
          <w:szCs w:val="27"/>
          <w14:ligatures w14:val="none"/>
        </w:rPr>
        <w:t>Supplementary Tables</w:t>
      </w:r>
    </w:p>
    <w:p w14:paraId="6779862A" w14:textId="77777777" w:rsidR="00537191" w:rsidRPr="00B67AAE" w:rsidRDefault="00537191" w:rsidP="00537191">
      <w:pPr>
        <w:spacing w:after="160" w:line="278" w:lineRule="auto"/>
        <w:rPr>
          <w:rFonts w:eastAsia="Times New Roman" w:cs="Times New Roman"/>
          <w:b/>
          <w:bCs/>
          <w:kern w:val="0"/>
          <w14:ligatures w14:val="none"/>
        </w:rPr>
      </w:pPr>
      <w:r>
        <w:rPr>
          <w:rFonts w:eastAsia="Times New Roman" w:cs="Times New Roman"/>
          <w:b/>
          <w:bCs/>
          <w:kern w:val="0"/>
          <w14:ligatures w14:val="none"/>
        </w:rPr>
        <w:br w:type="page"/>
      </w:r>
    </w:p>
    <w:p w14:paraId="3C1CDA97" w14:textId="77777777" w:rsidR="00537191" w:rsidRPr="00B67AAE" w:rsidRDefault="00537191" w:rsidP="00537191">
      <w:pPr>
        <w:spacing w:before="100" w:beforeAutospacing="1" w:after="100" w:afterAutospacing="1" w:line="240" w:lineRule="auto"/>
        <w:outlineLvl w:val="2"/>
        <w:rPr>
          <w:rFonts w:eastAsia="Times New Roman" w:cs="Times New Roman"/>
          <w:b/>
          <w:bCs/>
          <w:kern w:val="0"/>
          <w:sz w:val="27"/>
          <w:szCs w:val="27"/>
          <w14:ligatures w14:val="none"/>
        </w:rPr>
      </w:pPr>
      <w:r w:rsidRPr="00B67AAE">
        <w:rPr>
          <w:rFonts w:eastAsia="Times New Roman" w:cs="Times New Roman"/>
          <w:b/>
          <w:bCs/>
          <w:kern w:val="0"/>
          <w:sz w:val="27"/>
          <w:szCs w:val="27"/>
          <w14:ligatures w14:val="none"/>
        </w:rPr>
        <w:lastRenderedPageBreak/>
        <w:t>S1. Supplementary Methods</w:t>
      </w:r>
    </w:p>
    <w:p w14:paraId="39FAAAD2" w14:textId="77777777" w:rsidR="002A48E8" w:rsidRPr="009C00A0" w:rsidRDefault="002A48E8" w:rsidP="002A48E8">
      <w:pPr>
        <w:rPr>
          <w:b/>
          <w:bCs/>
        </w:rPr>
      </w:pPr>
      <w:bookmarkStart w:id="0" w:name="OLE_LINK1"/>
      <w:r w:rsidRPr="00275F34">
        <w:rPr>
          <w:b/>
          <w:bCs/>
        </w:rPr>
        <w:t>S1.1 Seasonal transmission calibration</w:t>
      </w:r>
    </w:p>
    <w:p w14:paraId="60781D91" w14:textId="77777777" w:rsidR="002A48E8" w:rsidRDefault="002A48E8" w:rsidP="00111CA2">
      <w:pPr>
        <w:ind w:firstLine="709"/>
      </w:pPr>
      <w:r>
        <w:t xml:space="preserve">Monthly malaria case data from Kagera region, Tanzania, for the period 2017–2023 were used to estimate the seasonal pattern of malaria transmission. For each calendar month, routine case-reporting data were aggregated across years using the number of RDT-positive malaria cases and the total number of </w:t>
      </w:r>
      <w:proofErr w:type="spellStart"/>
      <w:r>
        <w:t>mRDT</w:t>
      </w:r>
      <w:proofErr w:type="spellEnd"/>
      <w:r>
        <w:t xml:space="preserve"> tests performed. Separate datasets were first prepared for children under 5 years of age and individuals aged 5 years and older. To obtain the overall seasonal profile used for model calibration, under-5 and over-5 case counts were summed within each year-month, and the corresponding </w:t>
      </w:r>
      <w:proofErr w:type="spellStart"/>
      <w:r>
        <w:t>mRDT</w:t>
      </w:r>
      <w:proofErr w:type="spellEnd"/>
      <w:r>
        <w:t xml:space="preserve"> test counts were also summed.</w:t>
      </w:r>
    </w:p>
    <w:p w14:paraId="7B13375D" w14:textId="77777777" w:rsidR="002A48E8" w:rsidRDefault="002A48E8" w:rsidP="002A48E8">
      <w:r>
        <w:t>For each year-month, malaria test positivity was calculated as:</w:t>
      </w:r>
    </w:p>
    <w:p w14:paraId="2B3FD602" w14:textId="77777777" w:rsidR="007B0030" w:rsidRDefault="007B0030" w:rsidP="002A48E8"/>
    <w:p w14:paraId="4B01E1DE" w14:textId="77777777" w:rsidR="002A48E8" w:rsidRPr="000122F1" w:rsidRDefault="00000000" w:rsidP="002A48E8">
      <w:pPr>
        <w:rPr>
          <w:rFonts w:eastAsiaTheme="minorEastAsia"/>
          <w:iCs/>
        </w:rPr>
      </w:pPr>
      <m:oMathPara>
        <m:oMath>
          <m:sSub>
            <m:sSubPr>
              <m:ctrlPr>
                <w:rPr>
                  <w:rFonts w:ascii="Cambria Math" w:eastAsiaTheme="minorEastAsia" w:hAnsi="Cambria Math"/>
                  <w:i/>
                  <w:iCs/>
                </w:rPr>
              </m:ctrlPr>
            </m:sSubPr>
            <m:e>
              <m:r>
                <m:rPr>
                  <m:nor/>
                </m:rPr>
                <w:rPr>
                  <w:rFonts w:ascii="Cambria Math" w:eastAsiaTheme="minorEastAsia" w:hAnsi="Cambria Math"/>
                  <w:iCs/>
                </w:rPr>
                <m:t>positivity</m:t>
              </m:r>
              <m:ctrlPr>
                <w:rPr>
                  <w:rFonts w:ascii="Cambria Math" w:eastAsiaTheme="minorEastAsia" w:hAnsi="Cambria Math"/>
                  <w:iCs/>
                </w:rPr>
              </m:ctrlPr>
            </m:e>
            <m:sub>
              <m:r>
                <w:rPr>
                  <w:rFonts w:ascii="Cambria Math" w:eastAsiaTheme="minorEastAsia" w:hAnsi="Cambria Math"/>
                </w:rPr>
                <m:t>y,m</m:t>
              </m:r>
            </m:sub>
          </m:sSub>
          <m:r>
            <w:rPr>
              <w:rFonts w:ascii="Cambria Math" w:eastAsiaTheme="minorEastAsia" w:hAnsi="Cambria Math"/>
            </w:rPr>
            <m:t xml:space="preserve"> =</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RDT-positive cases</m:t>
                  </m:r>
                </m:e>
                <m:sub>
                  <m:r>
                    <w:rPr>
                      <w:rFonts w:ascii="Cambria Math" w:eastAsiaTheme="minorEastAsia" w:hAnsi="Cambria Math"/>
                    </w:rPr>
                    <m:t>y,m</m:t>
                  </m:r>
                </m:sub>
              </m:sSub>
            </m:num>
            <m:den>
              <m:sSub>
                <m:sSubPr>
                  <m:ctrlPr>
                    <w:rPr>
                      <w:rFonts w:ascii="Cambria Math" w:eastAsiaTheme="minorEastAsia" w:hAnsi="Cambria Math"/>
                      <w:i/>
                      <w:iCs/>
                    </w:rPr>
                  </m:ctrlPr>
                </m:sSubPr>
                <m:e>
                  <m:r>
                    <w:rPr>
                      <w:rFonts w:ascii="Cambria Math" w:eastAsiaTheme="minorEastAsia" w:hAnsi="Cambria Math"/>
                    </w:rPr>
                    <m:t>mRDT tests</m:t>
                  </m:r>
                </m:e>
                <m:sub>
                  <m:r>
                    <w:rPr>
                      <w:rFonts w:ascii="Cambria Math" w:eastAsiaTheme="minorEastAsia" w:hAnsi="Cambria Math"/>
                    </w:rPr>
                    <m:t>y,m</m:t>
                  </m:r>
                </m:sub>
              </m:sSub>
            </m:den>
          </m:f>
        </m:oMath>
      </m:oMathPara>
    </w:p>
    <w:p w14:paraId="2242E501" w14:textId="77777777" w:rsidR="007B0030" w:rsidRDefault="007B0030" w:rsidP="002A48E8"/>
    <w:p w14:paraId="7B582BA8" w14:textId="77777777" w:rsidR="002A48E8" w:rsidRDefault="002A48E8" w:rsidP="002A48E8">
      <w:r>
        <w:t>where (y) denotes year and (m) denotes calendar month. This produced a monthly time series of malaria positivity for Kagera from 2017 through 2023. To estimate the typical seasonal pattern while reducing the influence of unusually high or low months, the median positivity was calculated for each calendar month across all available years. The resulting monthly median values were then normalized by the overall median positivity across all year-month observations:</w:t>
      </w:r>
    </w:p>
    <w:p w14:paraId="008FB323" w14:textId="77777777" w:rsidR="007B0030" w:rsidRDefault="007B0030" w:rsidP="002A48E8"/>
    <w:p w14:paraId="23D7F6CC" w14:textId="77777777" w:rsidR="002A48E8" w:rsidRDefault="00000000" w:rsidP="002A48E8">
      <m:oMathPara>
        <m:oMath>
          <m:sSub>
            <m:sSubPr>
              <m:ctrlPr>
                <w:rPr>
                  <w:rFonts w:ascii="Cambria Math" w:hAnsi="Cambria Math"/>
                  <w:i/>
                </w:rPr>
              </m:ctrlPr>
            </m:sSubPr>
            <m:e>
              <m:r>
                <w:rPr>
                  <w:rFonts w:ascii="Cambria Math" w:hAnsi="Cambria Math"/>
                </w:rPr>
                <m:t>w</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median positivity in month m</m:t>
              </m:r>
            </m:num>
            <m:den>
              <m:r>
                <w:rPr>
                  <w:rFonts w:ascii="Cambria Math" w:hAnsi="Cambria Math"/>
                </w:rPr>
                <m:t>overall median positivity</m:t>
              </m:r>
            </m:den>
          </m:f>
        </m:oMath>
      </m:oMathPara>
    </w:p>
    <w:p w14:paraId="2F23A29D" w14:textId="77777777" w:rsidR="007B0030" w:rsidRDefault="007B0030" w:rsidP="002A48E8"/>
    <w:p w14:paraId="0522305A" w14:textId="77777777" w:rsidR="002A48E8" w:rsidRDefault="002A48E8" w:rsidP="002A48E8">
      <w:r>
        <w:t>where (</w:t>
      </w:r>
      <w:proofErr w:type="spellStart"/>
      <w:r>
        <w:t>w</w:t>
      </w:r>
      <w:r w:rsidRPr="00A766E1">
        <w:rPr>
          <w:vertAlign w:val="subscript"/>
        </w:rPr>
        <w:t>m</w:t>
      </w:r>
      <w:proofErr w:type="spellEnd"/>
      <w:r>
        <w:t>) is the relative seasonal weight for month (m). A value of (</w:t>
      </w:r>
      <w:proofErr w:type="spellStart"/>
      <w:r>
        <w:t>w</w:t>
      </w:r>
      <w:r w:rsidRPr="00A766E1">
        <w:rPr>
          <w:vertAlign w:val="subscript"/>
        </w:rPr>
        <w:t>m</w:t>
      </w:r>
      <w:proofErr w:type="spellEnd"/>
      <w:r>
        <w:t xml:space="preserve"> = 1) indicates transmission equal to the annual average level, values greater than 1 indicate months with higher-than-average transmission, and values less than 1 indicate months with lower-than-average transmission.</w:t>
      </w:r>
    </w:p>
    <w:p w14:paraId="0BA59738" w14:textId="77777777" w:rsidR="002A48E8" w:rsidRDefault="002A48E8" w:rsidP="002A48E8">
      <w:r w:rsidRPr="002A48E8">
        <w:t>The monthly seasonal weights were then used to adjust the baseline transmission parameter in the model. Because the model operates on a daily time step, each day was assigned the weight of its corresponding calendar month, with the same value applied to all days within that month. The seasonally adjusted transmission parameter was therefore calculated as:</w:t>
      </w:r>
    </w:p>
    <w:p w14:paraId="6AA7091C" w14:textId="77777777" w:rsidR="007B0030" w:rsidRDefault="007B0030" w:rsidP="002A48E8"/>
    <w:p w14:paraId="25155D7D" w14:textId="77777777" w:rsidR="002A48E8" w:rsidRPr="007B0030" w:rsidRDefault="007B0030" w:rsidP="002A48E8">
      <w:pPr>
        <w:rPr>
          <w:rFonts w:eastAsiaTheme="minorEastAsia"/>
        </w:rPr>
      </w:pPr>
      <m:oMathPara>
        <m:oMath>
          <m:r>
            <w:rPr>
              <w:rFonts w:ascii="Cambria Math" w:hAnsi="Cambria Math"/>
            </w:rPr>
            <w:lastRenderedPageBreak/>
            <m:t>β</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FB04C31" w14:textId="77777777" w:rsidR="007B0030" w:rsidRPr="007B0030" w:rsidRDefault="007B0030" w:rsidP="002A48E8">
      <w:pPr>
        <w:rPr>
          <w:rFonts w:eastAsiaTheme="minorEastAsia"/>
        </w:rPr>
      </w:pPr>
    </w:p>
    <w:p w14:paraId="6967CE16" w14:textId="77777777" w:rsidR="002A48E8" w:rsidRDefault="002A48E8" w:rsidP="002A48E8">
      <w:r w:rsidRPr="002A48E8">
        <w:t xml:space="preserve">where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2A48E8">
        <w:t xml:space="preserve"> is the baseline transmission parameter and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rsidRPr="002A48E8">
        <w:t xml:space="preserve"> is the seasonal weight for the calendar month containing day (t). The monthly weights were normalized around 1, so this adjustment changed the timing of transmission across the year while preserving the overall annual transmission level.</w:t>
      </w:r>
    </w:p>
    <w:p w14:paraId="4E5A1D79" w14:textId="77777777" w:rsidR="002A48E8" w:rsidRDefault="002A48E8" w:rsidP="00111CA2">
      <w:pPr>
        <w:ind w:firstLine="709"/>
      </w:pPr>
      <w:r>
        <w:t>The fitted seasonal profile showed clear seasonal variation in malaria transmission in Kagera. Transmission was lowest during the March–May and August–October periods and increased during the middle and end of the year, with the strongest seasonal peak occurring around June and elevated transmission also observed in November–December. This calibrated profile was then used in the model to represent seasonal fluctuations in malaria transmission over the simulation period.</w:t>
      </w:r>
    </w:p>
    <w:p w14:paraId="722991FB" w14:textId="77777777" w:rsidR="002A48E8" w:rsidRDefault="002A48E8" w:rsidP="00111CA2">
      <w:pPr>
        <w:ind w:firstLine="709"/>
      </w:pPr>
      <w:r>
        <w:t>Supplementary Figure 1 shows the monthly malaria case-derived seasonal curve and the corresponding fitted daily transmission multiplier used in the model.</w:t>
      </w:r>
    </w:p>
    <w:p w14:paraId="3FD24105" w14:textId="77777777" w:rsidR="002A48E8" w:rsidRDefault="002A48E8" w:rsidP="002A48E8"/>
    <w:p w14:paraId="001539F5" w14:textId="77777777" w:rsidR="002A48E8" w:rsidRDefault="002A48E8" w:rsidP="002A48E8">
      <w:r w:rsidRPr="002A48E8">
        <w:rPr>
          <w:noProof/>
        </w:rPr>
        <w:drawing>
          <wp:inline distT="0" distB="0" distL="0" distR="0" wp14:anchorId="3EF68D35" wp14:editId="13940692">
            <wp:extent cx="5943600" cy="1626870"/>
            <wp:effectExtent l="0" t="0" r="0" b="0"/>
            <wp:docPr id="209763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34095" name=""/>
                    <pic:cNvPicPr/>
                  </pic:nvPicPr>
                  <pic:blipFill>
                    <a:blip r:embed="rId7"/>
                    <a:stretch>
                      <a:fillRect/>
                    </a:stretch>
                  </pic:blipFill>
                  <pic:spPr>
                    <a:xfrm>
                      <a:off x="0" y="0"/>
                      <a:ext cx="5943600" cy="1626870"/>
                    </a:xfrm>
                    <a:prstGeom prst="rect">
                      <a:avLst/>
                    </a:prstGeom>
                  </pic:spPr>
                </pic:pic>
              </a:graphicData>
            </a:graphic>
          </wp:inline>
        </w:drawing>
      </w:r>
    </w:p>
    <w:p w14:paraId="495D1703" w14:textId="77777777" w:rsidR="00275F34" w:rsidRDefault="005D40F9" w:rsidP="00275F34">
      <w:pPr>
        <w:rPr>
          <w:rStyle w:val="Strong"/>
          <w:b w:val="0"/>
          <w:bCs w:val="0"/>
          <w:sz w:val="18"/>
          <w:szCs w:val="18"/>
        </w:rPr>
      </w:pPr>
      <w:r w:rsidRPr="005D40F9">
        <w:rPr>
          <w:rStyle w:val="Strong"/>
          <w:sz w:val="18"/>
          <w:szCs w:val="18"/>
        </w:rPr>
        <w:t xml:space="preserve">Supplementary Figure 1. </w:t>
      </w:r>
      <w:r w:rsidR="00DE7370" w:rsidRPr="00DE7370">
        <w:rPr>
          <w:rStyle w:val="Strong"/>
          <w:b w:val="0"/>
          <w:bCs w:val="0"/>
          <w:sz w:val="18"/>
          <w:szCs w:val="18"/>
        </w:rPr>
        <w:t xml:space="preserve">Seasonal transmission calibration for northwest Tanzania under the 47% private-market scenario. Red points and lines show the monthly seasonal transmission weights estimated from Kagera routine malaria case-reporting data from 2017 to 2023. Monthly weights were calculated from RDT-positive case counts and </w:t>
      </w:r>
      <w:proofErr w:type="spellStart"/>
      <w:r w:rsidR="00DE7370" w:rsidRPr="00DE7370">
        <w:rPr>
          <w:rStyle w:val="Strong"/>
          <w:b w:val="0"/>
          <w:bCs w:val="0"/>
          <w:sz w:val="18"/>
          <w:szCs w:val="18"/>
        </w:rPr>
        <w:t>mRDT</w:t>
      </w:r>
      <w:proofErr w:type="spellEnd"/>
      <w:r w:rsidR="00DE7370" w:rsidRPr="00DE7370">
        <w:rPr>
          <w:rStyle w:val="Strong"/>
          <w:b w:val="0"/>
          <w:bCs w:val="0"/>
          <w:sz w:val="18"/>
          <w:szCs w:val="18"/>
        </w:rPr>
        <w:t xml:space="preserve"> testing totals, using median monthly malaria test positivity across years and normalizing each month by the overall median positivity. Boxplots show the distribution of monthly malaria incidence generated by the calibrated simulation for Kagera region, stratified by children under 5 years of age, individuals 5 years and older, and the combined population. The dashed horizontal line indicates a seasonal weight of 1.0, corresponding to the annual average transmission level. The monthly seasonal weights were applied to the model’s daily transmission parameter by assigning each day the weight of its corresponding calendar month.</w:t>
      </w:r>
    </w:p>
    <w:p w14:paraId="1348B1F9" w14:textId="77777777" w:rsidR="005D40F9" w:rsidRPr="005D40F9" w:rsidRDefault="005D40F9" w:rsidP="00275F34">
      <w:pPr>
        <w:rPr>
          <w:sz w:val="18"/>
          <w:szCs w:val="18"/>
        </w:rPr>
      </w:pPr>
    </w:p>
    <w:p w14:paraId="66E06370" w14:textId="77777777" w:rsidR="00275F34" w:rsidRPr="009C00A0" w:rsidRDefault="00275F34" w:rsidP="00275F34">
      <w:pPr>
        <w:rPr>
          <w:b/>
          <w:bCs/>
        </w:rPr>
      </w:pPr>
      <w:r w:rsidRPr="00275F34">
        <w:rPr>
          <w:b/>
          <w:bCs/>
        </w:rPr>
        <w:t>S1.2 Treatment-seeking assumptions and private-sector scenarios</w:t>
      </w:r>
    </w:p>
    <w:p w14:paraId="4953B28D" w14:textId="25310F30" w:rsidR="00C942C7" w:rsidRDefault="00C942C7" w:rsidP="00C942C7">
      <w:pPr>
        <w:ind w:firstLine="709"/>
      </w:pPr>
      <w:r>
        <w:t>Drug-use distributions for both public- and private-sector treatment were obtained from DHS survey data</w:t>
      </w:r>
      <w:r w:rsidR="00E734D0">
        <w:t xml:space="preserve"> </w:t>
      </w:r>
      <w:r w:rsidR="00E734D0">
        <w:fldChar w:fldCharType="begin"/>
      </w:r>
      <w:r w:rsidR="00E734D0">
        <w:instrText xml:space="preserve"> ADDIN ZOTERO_ITEM CSL_CITATION {"citationID":"gsERjSwC","properties":{"unsorted":false,"formattedCitation":"[1\\uc0\\u8211{}5]","plainCitation":"[1–5]","noteIndex":0},"citationItems":[{"id":43,"uris":["http://zotero.org/users/20196582/items/EC8CV7UI"],"itemData":{"id":43,"type":"dataset","title":"DHS Program, Spatial Data Repository - Boundaries","URL":"https://spatialdata.dhsprogram.com/boundaries/#countryId=TZ&amp;view=table","author":[{"family":"USAID","given":""}],"issued":{"date-parts":[["2026",4,19]]}}},{"id":50,"uris":["http://zotero.org/users/20196582/items/2INDRHDW"],"itemData":{"id":50,"type":"report","publisher":"NBS/Tanzania and ORC Macro","publisher-place":"Dar es Salaam, Tanzania","title":"Tanzania Demographic and Health Survey 2004-2005","URL":"http://dhsprogram.com/pubs/pdf/FR173/FR173.pdf","author":[{"literal":"National Bureau of Statistics - NBS/Tanzania"},{"literal":"ORC Macro"}],"issued":{"date-parts":[["2005"]]}}},{"id":52,"uris":["http://zotero.org/users/20196582/items/JRKN43VB"],"itemData":{"id":52,"type":"report","publisher":"NBS/Tanzania and ICF Macro","publisher-place":"Dar es Salaam, Tanzania","title":"Tanzania Demographic and Health Survey 2010","URL":"http://dhsprogram.com/pubs/pdf/FR243/FR243.pdf","author":[{"literal":"National Bureau of Statistics - NBS/Tanzania"},{"literal":"ICF Macro"}],"issued":{"date-parts":[["2011"]]}}},{"id":54,"uris":["http://zotero.org/users/20196582/items/XHZZKY8L"],"itemData":{"id":54,"type":"report","publisher":"MoHCDGEC, MoH, NBS, OCGS, and ICF","publisher-place":"Dar es Salaam, Tanzania","title":"Tanzania Demographic and Health Survey and Malaria Indicator Survey 2015-2016","URL":"http://dhsprogram.com/pubs/pdf/FR321/FR321.pdf","author":[{"family":"Ministry of Health","given":"Community Development","suffix":"Gender, Elderly and Children - MoHCDGEC/Tanzania Mainland"},{"literal":"Ministry of Health - MoH/Zanzibar"},{"literal":"National Bureau of Statistics - NBS/Tanzania"},{"literal":"Office of Chief Government Statistician - OCGS/Zanzibar"},{"literal":"ICF"}],"issued":{"date-parts":[["2016"]]}}},{"id":48,"uris":["http://zotero.org/users/20196582/items/GIYQWZQA"],"itemData":{"id":48,"type":"report","abstract":"Comprehensive survey results are published in \nthe DHS Final Reports approximately 8-12\nmonths after the completion of fieldwork.\nStandard reports are approximately 200 pages\nin length and include, but are not limited\nto, topics such as: household and respondent\ncharacteristics, fertility and family\nplanning, maternal and child health,\nnutrition, and HIV/AIDS.","publisher":"MoH, NBS, OCGS, and ICF","publisher-place":"Dodoma, Tanzania, and Rockville, Maryland, USA","title":"Tanzania Demographic and Health Survey and Malaria Indicator Survey 2022 Final Report","URL":"https://www.dhsprogram.com/pubs/pdf/FR382/FR382.pdf","author":[{"literal":"Ministry of Health/Tanzania Mainland"},{"literal":"Ministry of Health/Zanzibar"},{"literal":"National Bureau of Statistics - NBS/Tanzania"},{"literal":"Office of the Chief Government Statistician - OCGS/Tanzania"},{"literal":"ICF"}],"issued":{"date-parts":[["2023"]]}}}],"schema":"https://github.com/citation-style-language/schema/raw/master/csl-citation.json"} </w:instrText>
      </w:r>
      <w:r w:rsidR="00E734D0">
        <w:fldChar w:fldCharType="separate"/>
      </w:r>
      <w:r w:rsidR="00E734D0" w:rsidRPr="00E734D0">
        <w:rPr>
          <w:rFonts w:cs="Times New Roman"/>
          <w:kern w:val="0"/>
        </w:rPr>
        <w:t>[1–5]</w:t>
      </w:r>
      <w:r w:rsidR="00E734D0">
        <w:fldChar w:fldCharType="end"/>
      </w:r>
      <w:r>
        <w:t xml:space="preserve">. During the burn-in and baseline transition period from 2003 to 2016, the </w:t>
      </w:r>
      <w:r>
        <w:lastRenderedPageBreak/>
        <w:t>contribution of private-market treatment was decreased over time from 100% to the target private-market share used in each scenario. Under the 47% private-market scenario, the resulting baseline treatment distribution assigned 53% of treatments to public-sector AL and 47% to the private-market treatment mixture. Under the 10% private-market scenario, 90% of treatments were assigned to the public-sector policy and 10% to the private-market treatment mixture. After 2016, the relative public- and private-sector treatment shares were held constant for the remainder of the baseline and intervention periods.</w:t>
      </w:r>
    </w:p>
    <w:p w14:paraId="2AF5B686" w14:textId="77777777" w:rsidR="00C942C7" w:rsidRDefault="00C942C7" w:rsidP="00C942C7">
      <w:pPr>
        <w:ind w:firstLine="709"/>
      </w:pPr>
      <w:r>
        <w:t>Private-sector antimalarial use was represented as a multiple first-line therapy distribution based on observed treatment preferences. In the private market, 78% of treatments were assumed to be artemether-lumefantrine (AL), 13% sulfadoxine-pyrimethamine, 6% dihydroartemisinin-piperaquine, 2% quinine, and 1% artesunate-amodiaquine. These private-market treatment probabilities were kept fixed across intervention scenarios, so changes in national treatment policy affected only the public-sector treatment allocation.</w:t>
      </w:r>
    </w:p>
    <w:p w14:paraId="2F67EA5A" w14:textId="77777777" w:rsidR="002A48E8" w:rsidRDefault="00C942C7" w:rsidP="00C942C7">
      <w:pPr>
        <w:ind w:firstLine="709"/>
      </w:pPr>
      <w:r>
        <w:t>Two private-sector market</w:t>
      </w:r>
      <w:r w:rsidR="002878BF">
        <w:t>-</w:t>
      </w:r>
      <w:r>
        <w:t>share scenarios were evaluated. In the primary scenario, 47% of antimalarial treatment occurred in the private sector; in the reduced private-market scenario, 10% of antimalarial treatment occurred in the private sector. Private-sector treatment preferences were assumed to remain constant after public-sector policy changes, with continued high use of AL.</w:t>
      </w:r>
    </w:p>
    <w:p w14:paraId="409656F6" w14:textId="77777777" w:rsidR="002878BF" w:rsidRDefault="002878BF" w:rsidP="00C942C7">
      <w:pPr>
        <w:ind w:firstLine="709"/>
      </w:pPr>
    </w:p>
    <w:p w14:paraId="6292F428" w14:textId="77777777" w:rsidR="00537191" w:rsidRPr="009C00A0" w:rsidRDefault="00537191" w:rsidP="00537191">
      <w:pPr>
        <w:rPr>
          <w:b/>
          <w:bCs/>
        </w:rPr>
      </w:pPr>
      <w:r w:rsidRPr="00275F34">
        <w:rPr>
          <w:b/>
          <w:bCs/>
        </w:rPr>
        <w:t>S1.</w:t>
      </w:r>
      <w:r w:rsidR="00275F34" w:rsidRPr="00275F34">
        <w:rPr>
          <w:b/>
          <w:bCs/>
        </w:rPr>
        <w:t>3</w:t>
      </w:r>
      <w:r w:rsidRPr="00275F34">
        <w:rPr>
          <w:b/>
          <w:bCs/>
        </w:rPr>
        <w:t xml:space="preserve"> Model calibration to northwest Tanzania</w:t>
      </w:r>
    </w:p>
    <w:p w14:paraId="3AAD85BD" w14:textId="77777777" w:rsidR="009F1C74" w:rsidRDefault="009F1C74" w:rsidP="009F1C74">
      <w:pPr>
        <w:ind w:firstLine="709"/>
      </w:pPr>
      <w:r>
        <w:t>The model was recalibrated to four regions in northwest Tanzania using Tanzania-specific population, prevalence, incidence, treatment-seeking, and private-sector treatment assumptions. Population density data were aggregated to 5 km by 5 km resolution and cropped to the four modeled regions: Kagera, Kigoma, Geita, and Mwanza. Pixel-level transmission intensity was first calibrated to reproduce Malaria Atlas Project estimates of PfPR2–10 in 2022 across the model domain. The quality of this prevalence calibration is shown in Supplementary Figure XX, which compares simulated PfPR2–10 with Atlas-estimated PfPR2–10 at the pixel level and summarizes district-level model bias across 100 stochastic simulations.</w:t>
      </w:r>
    </w:p>
    <w:p w14:paraId="2DF06A05" w14:textId="77777777" w:rsidR="009F1C74" w:rsidRDefault="009F1C74" w:rsidP="009F1C74">
      <w:pPr>
        <w:ind w:firstLine="709"/>
      </w:pPr>
      <w:r>
        <w:t xml:space="preserve">After the initial prevalence calibration, regional transmission intensity was rescaled to better match reported malaria incidence. Incidence targets were obtained from Tanzania’s national malaria program and used to adjust the calibrated transmission parameter while </w:t>
      </w:r>
      <w:r>
        <w:lastRenderedPageBreak/>
        <w:t>preserving the spatial pattern of prevalence across the four regions. As in previous calibration exercises, the model generated more clinical cases than would be expected for a given prevalence level, so prevalence and transmission levels were scaled downward to match reported incidence. In the 47% private-market scenario, this rescaling produced an average PfPR2–10 of 4.5% across the four regions and an annual incidence of 124 cases per 1000 individuals. In the 10% private-market scenario, stronger downward rescaling was required, resulting in an average PfPR2–10 of 2.7% and an annual incidence of 116 cases per 1000 individuals.</w:t>
      </w:r>
    </w:p>
    <w:p w14:paraId="7B200ACB" w14:textId="77777777" w:rsidR="009F1C74" w:rsidRDefault="009F1C74" w:rsidP="009F1C74">
      <w:pPr>
        <w:ind w:firstLine="709"/>
      </w:pPr>
    </w:p>
    <w:p w14:paraId="174B0ACE" w14:textId="77777777" w:rsidR="00622AD8" w:rsidRDefault="00C135DE" w:rsidP="00537191">
      <w:r>
        <w:rPr>
          <w:noProof/>
        </w:rPr>
        <w:drawing>
          <wp:inline distT="0" distB="0" distL="0" distR="0" wp14:anchorId="44F3E1CC" wp14:editId="5B2A1CCF">
            <wp:extent cx="5943600" cy="2616835"/>
            <wp:effectExtent l="0" t="0" r="0" b="0"/>
            <wp:docPr id="31250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03896" name="Picture 3125038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16835"/>
                    </a:xfrm>
                    <a:prstGeom prst="rect">
                      <a:avLst/>
                    </a:prstGeom>
                  </pic:spPr>
                </pic:pic>
              </a:graphicData>
            </a:graphic>
          </wp:inline>
        </w:drawing>
      </w:r>
    </w:p>
    <w:p w14:paraId="34EA3A75" w14:textId="2F580D0C" w:rsidR="00C1698E" w:rsidRPr="00ED754C" w:rsidRDefault="00ED754C" w:rsidP="00537191">
      <w:pPr>
        <w:rPr>
          <w:sz w:val="18"/>
          <w:szCs w:val="18"/>
        </w:rPr>
      </w:pPr>
      <w:r w:rsidRPr="00ED754C">
        <w:rPr>
          <w:b/>
          <w:bCs/>
          <w:sz w:val="18"/>
          <w:szCs w:val="18"/>
        </w:rPr>
        <w:t xml:space="preserve">Supplementary Figure </w:t>
      </w:r>
      <w:r w:rsidR="00CF4419">
        <w:rPr>
          <w:b/>
          <w:bCs/>
          <w:sz w:val="18"/>
          <w:szCs w:val="18"/>
        </w:rPr>
        <w:t>2</w:t>
      </w:r>
      <w:r w:rsidRPr="00ED754C">
        <w:rPr>
          <w:sz w:val="18"/>
          <w:szCs w:val="18"/>
        </w:rPr>
        <w:t>. Calibration of simulated PfPR2–10 against Malaria Atlas Project estimates for northwest Tanzania in 2022. Panel A shows the pixel-level comparison between Atlas-estimated PfPR2–10 and simulated PfPR2–10 across the four modeled regions. Each point represents the mean PfPR2–10 for one model pixel in 2022 from one simulation run, with results shown across 100 stochastic simulations. Point size is proportional to the average simulated population size. The dashed black line indicates perfect agreement between simulated and Atlas-estimated PfPR2–10, and the solid blue line shows the fitted linear trend. Panel B shows district-level model bias across the 100 simulation runs, calculated as simulated PfPR2–10 minus Atlas-estimated PfPR2–10 in percentage points, for Kagera, Kigoma, Geita, and Mwanza. Although most values are below zero, indicating slight underestimation by the model, the absolute differences are small, generally within approximately 0.5 percentage points.</w:t>
      </w:r>
    </w:p>
    <w:p w14:paraId="18D16822" w14:textId="77777777" w:rsidR="00275F34" w:rsidRDefault="00275F34" w:rsidP="00537191"/>
    <w:p w14:paraId="34949AB9" w14:textId="77777777" w:rsidR="00537191" w:rsidRDefault="00537191" w:rsidP="00537191"/>
    <w:p w14:paraId="440071CA" w14:textId="77777777" w:rsidR="00537191" w:rsidRPr="00275F34" w:rsidRDefault="00537191" w:rsidP="00537191">
      <w:pPr>
        <w:rPr>
          <w:b/>
          <w:bCs/>
        </w:rPr>
      </w:pPr>
      <w:r w:rsidRPr="00275F34">
        <w:rPr>
          <w:b/>
          <w:bCs/>
        </w:rPr>
        <w:t>S1.</w:t>
      </w:r>
      <w:r w:rsidR="004261B7">
        <w:rPr>
          <w:b/>
          <w:bCs/>
        </w:rPr>
        <w:t>4</w:t>
      </w:r>
      <w:r w:rsidRPr="00275F34">
        <w:rPr>
          <w:b/>
          <w:bCs/>
        </w:rPr>
        <w:t xml:space="preserve"> Baseline resistance allele frequencies and mutation initialization</w:t>
      </w:r>
    </w:p>
    <w:p w14:paraId="0BFAAA00" w14:textId="014CD06F" w:rsidR="00A77C8E" w:rsidRDefault="00A77C8E" w:rsidP="00AF6A76">
      <w:pPr>
        <w:ind w:firstLine="709"/>
      </w:pPr>
      <w:r w:rsidRPr="00A77C8E">
        <w:t xml:space="preserve">Genotype frequencies for resistance-associated alleles, including pfmdr1 86Y, pfmdr1 184F, and pfcrt 76T, were compiled from published molecular-marker data from northwest Tanzania </w:t>
      </w:r>
      <w:r>
        <w:rPr>
          <w:rFonts w:ascii="Bierstadt" w:hAnsi="Bierstadt" w:cs="Times New Roman"/>
          <w:sz w:val="22"/>
          <w:szCs w:val="22"/>
        </w:rPr>
        <w:fldChar w:fldCharType="begin"/>
      </w:r>
      <w:r>
        <w:rPr>
          <w:rFonts w:ascii="Bierstadt" w:hAnsi="Bierstadt" w:cs="Times New Roman"/>
          <w:sz w:val="22"/>
          <w:szCs w:val="22"/>
        </w:rPr>
        <w:instrText xml:space="preserve"> ADDIN ZOTERO_ITEM CSL_CITATION {"citationID":"gCWvMM3j","properties":{"unsorted":true,"formattedCitation":"[6\\uc0\\u8211{}9]","plainCitation":"[6–9]","noteIndex":0},"citationItems":[{"id":114,"uris":["http://zotero.org/users/20196582/items/44X9WKVZ"],"itemData":{"id":114,"type":"article-journal","container-title":"Malaria Journal","DOI":"10.1186/1475-2875-11-58","ISSN":"1475-2875","issue":"1","journalAbbreviation":"Malar J","language":"en","license":"http://creativecommons.org/licenses/by/2.0","page":"58","source":"DOI.org (Crossref)","title":"Efficacy of artemether-lumefantrine in treatment of malaria among under-fives and prevalence of drug resistance markers in Igombe-Mwanza, north-western Tanzania","volume":"11","author":[{"family":"Kamugisha","given":"Erasmus"},{"family":"Jing","given":"Sun"},{"family":"Minde","given":"Mercy"},{"family":"Kataraihya","given":"Johaness"},{"family":"Kongola","given":"Gilbert"},{"family":"Kironde","given":"Fred"},{"family":"Swedberg","given":"Göte"}],"issued":{"date-parts":[["2012",12]]}}},{"id":110,"uris":["http://zotero.org/users/20196582/items/77S73CCS"],"itemData":{"id":110,"type":"article-journal","container-title":"Malaria Journal","DOI":"10.1186/1475-2875-13-264","ISSN":"1475-2875","issue":"1","journalAbbreviation":"Malar J","language":"en","page":"264","source":"DOI.org (Crossref)","title":"Surveillance of artemether-lumefantrine associated Plasmodium falciparum multidrug resistance protein-1 gene polymorphisms in Tanzania","volume":"13","author":[{"family":"Kavishe","given":"Reginald A"},{"family":"Paulo","given":"Petro"},{"family":"Kaaya","given":"Robert D"},{"family":"Kalinga","given":"Akili"},{"family":"Van Zwetselaar","given":"Marco"},{"family":"Chilongola","given":"Jaffu"},{"family":"Roper","given":"Cally"},{"family":"Alifrangis","given":"Michael"}],"issued":{"date-parts":[["2014",12]]}}},{"id":112,"uris":["http://zotero.org/users/20196582/items/LBUHINRL"],"itemData":{"id":112,"type":"article-journal","abstract":"Abstract\n            \n              Background\n              The World Health Organization recommends regular therapeutic efficacy studies (TES) to monitor the performance of first and second-line anti-malarials. In 2016, efficacy and safety of artemether-lumefantrine (AL) for the treatment of uncomplicated falciparum malaria were assessed through a TES conducted between April and October 2016 at four sentinel sites of Kibaha, Mkuzi, Mlimba, and Ujiji in Tanzania. The study also assessed molecular markers of artemisinin and lumefantrine (partner drug) resistance.\n            \n            \n              Methods\n              \n                Eligible patients were enrolled at the four sites, treated with standard doses of AL, and monitored for 28 days with clinical and laboratory assessments. The main outcomes were PCR corrected cure rates, day 3 positivity rates, safety of AL, and prevalence of single nucleotide polymorphisms in\n                Plasmodium falciparum\n                kelch 13 (\n                Pfk13\n                ) (codon positions: 440–600) and\n                P. falciparum\n                multi-drug resistance 1 (\n                Pfmdr1\n                ) genes (codons: N86\n                \n                  Y\n                \n                , Y184\n                \n                  F\n                \n                and D1246\n                \n                  Y\n                \n                ), markers of artemisinin and lumefantrine resistance, respectively.\n              \n            \n            \n              Results\n              \n                Of 344 patients enrolled, three withdrew, six were lost to follow-up; and results were analysed for 335 (97.4%) patients. Two patients had treatment failure (one early treatment failure and one recrudescent infection) after PCR correction, yielding an adequate clinical and parasitological response of</w:instrText>
      </w:r>
      <w:r>
        <w:rPr>
          <w:rFonts w:ascii="Arial" w:hAnsi="Arial" w:cs="Arial"/>
          <w:sz w:val="22"/>
          <w:szCs w:val="22"/>
        </w:rPr>
        <w:instrText> </w:instrText>
      </w:r>
      <w:r>
        <w:rPr>
          <w:rFonts w:ascii="Bierstadt" w:hAnsi="Bierstadt" w:cs="Times New Roman"/>
          <w:sz w:val="22"/>
          <w:szCs w:val="22"/>
        </w:rPr>
        <w:instrText>&gt;</w:instrText>
      </w:r>
      <w:r>
        <w:rPr>
          <w:rFonts w:ascii="Arial" w:hAnsi="Arial" w:cs="Arial"/>
          <w:sz w:val="22"/>
          <w:szCs w:val="22"/>
        </w:rPr>
        <w:instrText> </w:instrText>
      </w:r>
      <w:r>
        <w:rPr>
          <w:rFonts w:ascii="Bierstadt" w:hAnsi="Bierstadt" w:cs="Times New Roman"/>
          <w:sz w:val="22"/>
          <w:szCs w:val="22"/>
        </w:rPr>
        <w:instrText>98%. Day 3 positivity rates ranged from 0 to 5.7%. Common adverse events included cough, abdominal pain, vomiting, and diarrhoea. Two patients had serious adverse events; one died after the first dose of AL and another required hospitalization after the second dose of AL (on day 0) but recovered completely. Of 344 samples collected at enrolment (day 0), 92.7% and 100% were successfully sequenced for\n                Pfk13\n                and\n                Pfmdr1\n                genes, respectively. Six (1.9%) had non-synonymous mutations in\n                Pfk13\n                , none of which had been previously associated with artemisinin resistance. For\n                Pfmdr1,\n                the N\n                \n                  F\n                \n                D haplotype (codons N86, 184\n                \n                  F\n                \n                and D1246) was detected in 134 (39.0%) samples; ranging from 33.0% in Mlimba to 45.5% at Mkuzi. The difference among the four sites was not significant (p</w:instrText>
      </w:r>
      <w:r>
        <w:rPr>
          <w:rFonts w:ascii="Arial" w:hAnsi="Arial" w:cs="Arial"/>
          <w:sz w:val="22"/>
          <w:szCs w:val="22"/>
        </w:rPr>
        <w:instrText> </w:instrText>
      </w:r>
      <w:r>
        <w:rPr>
          <w:rFonts w:ascii="Bierstadt" w:hAnsi="Bierstadt" w:cs="Times New Roman"/>
          <w:sz w:val="22"/>
          <w:szCs w:val="22"/>
        </w:rPr>
        <w:instrText>=</w:instrText>
      </w:r>
      <w:r>
        <w:rPr>
          <w:rFonts w:ascii="Arial" w:hAnsi="Arial" w:cs="Arial"/>
          <w:sz w:val="22"/>
          <w:szCs w:val="22"/>
        </w:rPr>
        <w:instrText> </w:instrText>
      </w:r>
      <w:r>
        <w:rPr>
          <w:rFonts w:ascii="Bierstadt" w:hAnsi="Bierstadt" w:cs="Times New Roman"/>
          <w:sz w:val="22"/>
          <w:szCs w:val="22"/>
        </w:rPr>
        <w:instrText>0.578). All samples had a single copy of the\n                Pfmdr1\n                gene.\n              \n            \n            \n              Conclusion\n              \n                The study indicated high efficacy of AL and the safety profile was consistent with previous reports. There were no known artemisinin-resistance\n                Pfk13\n                mutations, but there was a high prevalence of a\n                Pfmdr1\n                haplotype associated with reduced sensitivity to lumefantrine (but no reduced efficacy was observed in the subjects). Continued TES and monitoring of markers of resistance to artemisinin and partner drugs is critical for early detection of resistant parasites and to inform evidence-based malaria treatment policies.\n              \n              \n                Trial Registration\n                ClinicalTrials.gov NCT03387631","container-title":"Malaria Journal","DOI":"10.1186/s12936-019-2730-1","ISSN":"1475-2875","issue":"1","journalAbbreviation":"Malar J","language":"en","page":"88","source":"DOI.org (Crossref)","title":"Efficacy and safety of artemether-lumefantrine for the treatment of uncomplicated malaria and prevalence of Pfk13 and Pfmdr1 polymorphisms after a decade of using artemisinin-based combination therapy in mainland Tanzania","volume":"18","author":[{"family":"Ishengoma","given":"Deus S."},{"family":"Mandara","given":"Celine I."},{"family":"Francis","given":"Filbert"},{"family":"Talundzic","given":"Eldin"},{"family":"Lucchi","given":"Naomi W."},{"family":"Ngasala","given":"Billy"},{"family":"Kabanywanyi","given":"Abdunoor M."},{"family":"Mahende","given":"Muhidin K."},{"family":"Kamugisha","given":"Erasmus"},{"family":"Kavishe","given":"Reginald A."},{"family":"Muro","given":"Florida"},{"family":"Mohamed","given":"Ally"},{"family":"Mandike","given":"Renata"},{"family":"Mkude","given":"Sigsbert"},{"family":"Chacky","given":"Frank"},{"family":"Paxton","given":"Lynn"},{"family":"Greer","given":"George"},{"family":"Kitojo","given":"Chonge A."},{"family":"Njau","given":"Ritha"},{"family":"Martin","given":"Troy"},{"family":"Venkatesan","given":"Meera"},{"family":"Warsame","given":"Marian"},{"family":"Halsey","given":"Eric S."},{"family":"Udhayakumar","given":"Venkatachalam"}],"issued":{"date-parts":[["2019",12]]}}},{"id":116,"uris":["http://zotero.org/users/20196582/items/NIDCQ2TD"],"itemData":{"id":116,"type":"article-journal","abstract":"Abstract\n            \n              High</w:instrText>
      </w:r>
      <w:r>
        <w:rPr>
          <w:rFonts w:ascii="Cambria Math" w:hAnsi="Cambria Math" w:cs="Cambria Math"/>
          <w:sz w:val="22"/>
          <w:szCs w:val="22"/>
        </w:rPr>
        <w:instrText>‐</w:instrText>
      </w:r>
      <w:r>
        <w:rPr>
          <w:rFonts w:ascii="Bierstadt" w:hAnsi="Bierstadt" w:cs="Times New Roman"/>
          <w:sz w:val="22"/>
          <w:szCs w:val="22"/>
        </w:rPr>
        <w:instrText>throughput\n              Plasmodium\n              genomic data is increasingly useful in assessing prevalence of clinically important mutations and malaria transmission patterns. Understanding parasite diversity is important for identification of specific human or parasite populations that can be targeted by control programmes, and to monitor the spread of mutations associated with drug resistance. An up</w:instrText>
      </w:r>
      <w:r>
        <w:rPr>
          <w:rFonts w:ascii="Cambria Math" w:hAnsi="Cambria Math" w:cs="Cambria Math"/>
          <w:sz w:val="22"/>
          <w:szCs w:val="22"/>
        </w:rPr>
        <w:instrText>‐</w:instrText>
      </w:r>
      <w:r>
        <w:rPr>
          <w:rFonts w:ascii="Bierstadt" w:hAnsi="Bierstadt" w:cs="Times New Roman"/>
          <w:sz w:val="22"/>
          <w:szCs w:val="22"/>
        </w:rPr>
        <w:instrText>to</w:instrText>
      </w:r>
      <w:r>
        <w:rPr>
          <w:rFonts w:ascii="Cambria Math" w:hAnsi="Cambria Math" w:cs="Cambria Math"/>
          <w:sz w:val="22"/>
          <w:szCs w:val="22"/>
        </w:rPr>
        <w:instrText>‐</w:instrText>
      </w:r>
      <w:r>
        <w:rPr>
          <w:rFonts w:ascii="Bierstadt" w:hAnsi="Bierstadt" w:cs="Times New Roman"/>
          <w:sz w:val="22"/>
          <w:szCs w:val="22"/>
        </w:rPr>
        <w:instrText>date understanding of regional parasite population dynamics is also critical to monitor the impact of control efforts. However, this data is largely absent from high</w:instrText>
      </w:r>
      <w:r>
        <w:rPr>
          <w:rFonts w:ascii="Cambria Math" w:hAnsi="Cambria Math" w:cs="Cambria Math"/>
          <w:sz w:val="22"/>
          <w:szCs w:val="22"/>
        </w:rPr>
        <w:instrText>‐</w:instrText>
      </w:r>
      <w:r>
        <w:rPr>
          <w:rFonts w:ascii="Bierstadt" w:hAnsi="Bierstadt" w:cs="Times New Roman"/>
          <w:sz w:val="22"/>
          <w:szCs w:val="22"/>
        </w:rPr>
        <w:instrText>burden nations in Africa, and to date, no such analysis has been conducted for malaria parasites in Tanzania countrywide. To this end, over 1,000\n              P. falciparum\n              clinical isolates were collected in 2017 from 13 sites in seven administrative regions across Tanzania, and parasites were genotyped at 1,800 variable positions genome</w:instrText>
      </w:r>
      <w:r>
        <w:rPr>
          <w:rFonts w:ascii="Cambria Math" w:hAnsi="Cambria Math" w:cs="Cambria Math"/>
          <w:sz w:val="22"/>
          <w:szCs w:val="22"/>
        </w:rPr>
        <w:instrText>‐</w:instrText>
      </w:r>
      <w:r>
        <w:rPr>
          <w:rFonts w:ascii="Bierstadt" w:hAnsi="Bierstadt" w:cs="Times New Roman"/>
          <w:sz w:val="22"/>
          <w:szCs w:val="22"/>
        </w:rPr>
        <w:instrText xml:space="preserve">wide using molecular inversion probes. Population structure was detectable among Tanzanian\n              P. falciparum\n              parasites, approximately separating parasites from the northern and southern districts and identifying genetically admixed populations in the north. Isolates from nearby districts were more likely to be genetically related compared to parasites sampled from more distant districts. Known drug resistance mutations were seen at increased frequency in northern districts (including two infections carrying\n              pfk13\n              </w:instrText>
      </w:r>
      <w:r>
        <w:rPr>
          <w:rFonts w:ascii="Cambria Math" w:hAnsi="Cambria Math" w:cs="Cambria Math"/>
          <w:sz w:val="22"/>
          <w:szCs w:val="22"/>
        </w:rPr>
        <w:instrText>‐</w:instrText>
      </w:r>
      <w:r>
        <w:rPr>
          <w:rFonts w:ascii="Bierstadt" w:hAnsi="Bierstadt" w:cs="Times New Roman"/>
          <w:sz w:val="22"/>
          <w:szCs w:val="22"/>
        </w:rPr>
        <w:instrText>R561H), and additional variants with undetermined significance for antimalarial resistance also varied by geography. Malaria Indicator Survey (2017) data corresponded with genetic findings, including average region</w:instrText>
      </w:r>
      <w:r>
        <w:rPr>
          <w:rFonts w:ascii="Cambria Math" w:hAnsi="Cambria Math" w:cs="Cambria Math"/>
          <w:sz w:val="22"/>
          <w:szCs w:val="22"/>
        </w:rPr>
        <w:instrText>‐</w:instrText>
      </w:r>
      <w:r>
        <w:rPr>
          <w:rFonts w:ascii="Bierstadt" w:hAnsi="Bierstadt" w:cs="Times New Roman"/>
          <w:sz w:val="22"/>
          <w:szCs w:val="22"/>
        </w:rPr>
        <w:instrText>level complexity</w:instrText>
      </w:r>
      <w:r>
        <w:rPr>
          <w:rFonts w:ascii="Cambria Math" w:hAnsi="Cambria Math" w:cs="Cambria Math"/>
          <w:sz w:val="22"/>
          <w:szCs w:val="22"/>
        </w:rPr>
        <w:instrText>‐</w:instrText>
      </w:r>
      <w:r>
        <w:rPr>
          <w:rFonts w:ascii="Bierstadt" w:hAnsi="Bierstadt" w:cs="Times New Roman"/>
          <w:sz w:val="22"/>
          <w:szCs w:val="22"/>
        </w:rPr>
        <w:instrText>of</w:instrText>
      </w:r>
      <w:r>
        <w:rPr>
          <w:rFonts w:ascii="Cambria Math" w:hAnsi="Cambria Math" w:cs="Cambria Math"/>
          <w:sz w:val="22"/>
          <w:szCs w:val="22"/>
        </w:rPr>
        <w:instrText>‐</w:instrText>
      </w:r>
      <w:r>
        <w:rPr>
          <w:rFonts w:ascii="Bierstadt" w:hAnsi="Bierstadt" w:cs="Times New Roman"/>
          <w:sz w:val="22"/>
          <w:szCs w:val="22"/>
        </w:rPr>
        <w:instrText xml:space="preserve">infection and malaria prevalence estimates. The parasite populations identified here provide important information on extant spatial patterns of genetic diversity of Tanzanian parasites, to which future surveys of genetic relatedness can be compared.","container-title":"Molecular Ecology","DOI":"10.1111/mec.15706","ISSN":"0962-1083, 1365-294X","issue":"1","journalAbbreviation":"Molecular Ecology","language":"en","page":"100-113","source":"DOI.org (Crossref)","title":"Describing the current status of &lt;i&gt;Plasmodium falciparum&lt;/i&gt; population structure and drug resistance within mainland Tanzania using molecular inversion probes","volume":"30","author":[{"family":"Moser","given":"Kara A."},{"family":"Madebe","given":"Rashid A."},{"family":"Aydemir","given":"Ozkan"},{"family":"Chiduo","given":"Mercy G."},{"family":"Mandara","given":"Celine I."},{"family":"Rumisha","given":"Susan F."},{"family":"Chaky","given":"Frank"},{"family":"Denton","given":"Madeline"},{"family":"Marsh","given":"Patrick W."},{"family":"Verity","given":"Robert"},{"family":"Watson","given":"Oliver J."},{"family":"Ngasala","given":"Billy"},{"family":"Mkude","given":"Sigsbert"},{"family":"Molteni","given":"Fabrizio"},{"family":"Njau","given":"Ritha"},{"family":"Warsame","given":"Marian"},{"family":"Mandike","given":"Renata"},{"family":"Kabanywanyi","given":"Abdunoor M."},{"family":"Mahende","given":"Muhidin K."},{"family":"Kamugisha","given":"Erasmus"},{"family":"Ahmed","given":"Maimuna"},{"family":"Kavishe","given":"Reginald A."},{"family":"Greer","given":"George"},{"family":"Kitojo","given":"Chonge A."},{"family":"Reaves","given":"Erik J."},{"family":"Mlunde","given":"Linda"},{"family":"Bishanga","given":"Dunstan"},{"family":"Mohamed","given":"Ally"},{"family":"Juliano","given":"Jonathan J."},{"family":"Ishengoma","given":"Deus S."},{"family":"Bailey","given":"Jeffrey A."}],"issued":{"date-parts":[["2021",1]]}}}],"schema":"https://github.com/citation-style-language/schema/raw/master/csl-citation.json"} </w:instrText>
      </w:r>
      <w:r>
        <w:rPr>
          <w:rFonts w:ascii="Bierstadt" w:hAnsi="Bierstadt" w:cs="Times New Roman"/>
          <w:sz w:val="22"/>
          <w:szCs w:val="22"/>
        </w:rPr>
        <w:fldChar w:fldCharType="separate"/>
      </w:r>
      <w:r w:rsidRPr="00A77C8E">
        <w:rPr>
          <w:rFonts w:ascii="Bierstadt" w:hAnsi="Bierstadt" w:cs="Times New Roman"/>
          <w:kern w:val="0"/>
          <w:sz w:val="22"/>
        </w:rPr>
        <w:t>[6–9]</w:t>
      </w:r>
      <w:r>
        <w:rPr>
          <w:rFonts w:ascii="Bierstadt" w:hAnsi="Bierstadt" w:cs="Times New Roman"/>
          <w:sz w:val="22"/>
          <w:szCs w:val="22"/>
        </w:rPr>
        <w:fldChar w:fldCharType="end"/>
      </w:r>
      <w:r w:rsidRPr="00A77C8E">
        <w:t>. Baseline resistance allele frequencies were initialized in 2003 at 0.015 for pfcrt 76T and 0.02 for pfmdr1 86Y. These initial frequencies were calibrated so that simulated allele-</w:t>
      </w:r>
      <w:r w:rsidRPr="00A77C8E">
        <w:lastRenderedPageBreak/>
        <w:t>frequency trajectories were consistent with the available molecular-marker observations, with the primary calibration selected to visually approximate the observed data points. Under this calibration, simulated allele frequencies in 2025 were approximately 0.08 for pfcrt 76T and 0.05 for pfmdr1 86Y. Mutation was activated on January 1, 2018, with a per-treatment mutation probability of 0.001983, as in previous model applications.</w:t>
      </w:r>
    </w:p>
    <w:p w14:paraId="576658CA" w14:textId="080BAB2B" w:rsidR="00A77C8E" w:rsidRDefault="00A77C8E" w:rsidP="00AF6A76">
      <w:pPr>
        <w:ind w:firstLine="709"/>
      </w:pPr>
      <w:r w:rsidRPr="00A77C8E">
        <w:t xml:space="preserve">The resulting allele-frequency trajectories are shown in Supplementary Figure </w:t>
      </w:r>
      <w:r w:rsidR="00CF4419">
        <w:t>3</w:t>
      </w:r>
      <w:r w:rsidR="00F63768">
        <w:t>-</w:t>
      </w:r>
      <w:r w:rsidR="00CF4419">
        <w:t>6</w:t>
      </w:r>
      <w:r w:rsidRPr="00A77C8E">
        <w:t>, which presents monthly frequencies for each resistance-associated genotype over time under both the 47% and 10% private-market scenarios. An alternative low-frequency calibration was also generated by reducing pfcrt 76T and pfmdr1 86Y frequencies as much as possible while maintaining consistency with the available molecular-marker data. Under this calibration, simulated 2025 frequencies were approximately 0.05 for pfcrt 76T and 0.01 for pfmdr1 86Y, providing a lower-bound baseline resistance scenario for sensitivity analysis.</w:t>
      </w:r>
    </w:p>
    <w:p w14:paraId="7B68B0B8" w14:textId="0699DAAA" w:rsidR="005909D6" w:rsidRDefault="00CC7C0C" w:rsidP="00AF6A76">
      <w:pPr>
        <w:ind w:firstLine="709"/>
      </w:pPr>
      <w:r>
        <w:t>The model was also calibrated to reproduce the observed spatial pattern of pfkelch13 561H in 2022</w:t>
      </w:r>
      <w:r w:rsidR="008E22DB">
        <w:t xml:space="preserve"> </w:t>
      </w:r>
      <w:r w:rsidR="008E22DB">
        <w:fldChar w:fldCharType="begin"/>
      </w:r>
      <w:r w:rsidR="00A77C8E">
        <w:instrText xml:space="preserve"> ADDIN ZOTERO_ITEM CSL_CITATION {"citationID":"RHgN1Qa4","properties":{"unsorted":false,"formattedCitation":"[10]","plainCitation":"[10]","noteIndex":0},"citationItems":[{"id":80,"uris":["http://zotero.org/users/20196582/items/WU7TAGJV"],"itemData":{"id":80,"type":"article","abstract":"Abstract\n          \n            Background\n            \n              Emergence of artemisinin partial resistance (ART-R) in\n              Plasmodium falciparum\n              is a growing threat to the efficacy of artemisinin combination therapies (ACT) and the efforts for malaria elimination. The emergence of\n              Plasmodium falciparum\n              Kelch13 (K13) R561H in Rwanda raised concern about the impact in neighboring Tanzania. In addition, regional concern over resistance affecting sulfadoxine-pyrimethamine (SP), which is used for chemoprevention strategies, is high.\n            \n          \n          \n            Methods\n            To enhance longitudinal monitoring, the Molecular Surveillance of Malaria in Tanzania (MSMT) project was launched in 2020 with the goal of assessing and mapping antimalarial resistance. Community and clinic samples were assessed for resistance polymorphisms using a molecular inversion probe platform.\n          \n          \n            Findings\n            Genotyping of 6,278 samples collected countrywide in 2021 revealed a focus of K13 561H mutants in northwestern Tanzania (Kagera) with prevalence of 7.7% (50/649). A small number of 561H mutants (about 1%) were found as far as 800 km away in Tabora, Manyara, and Njombe. Genomic analysis suggests some of these parasites are highly related to isolates collected in Rwanda in 2015, supporting regional spread of 561H. However, a novel haplotype was also observed, likely indicating a second origin in the region. Other validated resistance polymorphisms (622I and 675V) were also identified. A focus of high sulfadoxine-pyrimethamine drug resistance was also identified in Kagera with a prevalence of dihydrofolate reductase 164L of 15% (80/526).\n          \n          \n            Interpretation\n            These findings demonstrate the K13 561H mutation is entrenched in the region and that multiple origins of ART-R, similar as to what was seen in Southeast Asia, have occurred. Mutations associated with high levels of SP resistance are increasing. These results raise concerns about the long-term efficacy of artemisinin and chemoprevention antimalarials in the region.\n          \n          \n            Funding\n            This study was funded by the Bill and Melinda Gates Foundation and the National Institutes of Health.\n          \n          \n            Research in Context\n            \n              Evidence before this study\n              \n                We did a literature search via PubMed for research articles published from January 2014 to October 2023 using the search term “Africa” and “Artemisinin resistance” linked to “R561H” or “A675V” or “R622I”, returning 32 studies. The published literature shows the emergence and establishment of these three validated\n                Plasmodium falciparum\n                kelch13 (K13) mutations associated with artemisinin partial resistance (ART-R) in Africa. Large molecular studies of 675V in Uganda and 622I in Ethiopia have defined the regional spread of these mutations. However, limited data is available from recent studies about the spread and origins of the 561H mutation in the Great Lakes region of East Africa. In particular, detailed studies of the regions of Tanzania that border Rwanda have not been carried out since the mutation was detected in Rwanda. These data are needed for malaria control programs to define and implement strategies for controlling the spread of ART-R in Africa, a potential global public health disaster and the potential obstacle to the ongoing elimination strategies.\n              \n            \n            \n              Added value of this study\n              \n                This analysis reports the first large-scale analysis of antimalarial resistance in Tanzania, with a focus on the regions bordering Rwanda since the 561H mutation reached high frequency in the area. Using 6,278\n                P. falciparum\n                positive samples sequenced using molecular inversion probes (MIPs), we show that the mutation has become frequent in the districts of Kagera bordering Rwanda. Importantly, we provide evidence for the separate emergence of a different extended haplotype around 561H in Tanzania. This is the first evidence that multiple independent emergences of the 561H ART-R have occurred in Africa, as was seen within the last two decades in Southeast Asia.\n              \n            \n            \n              Implications of all the available evidence\n              These findings highlight that, similar to 622I and 675V in other parts of Africa, we can expect the 561H mutation to continue to spread in the region. In addition, it highlights that we need to be watchful for new origins of mutations beyond the spread of existing resistant parasite lineages. ART-R appears to now be well established in multiple areas in Eastern Africa. Intensive control in these regions to prevent spread and monitoring for partner drug resistance emergence in affected areas will be critical for preventing further reversal of malaria control efforts in the region and support progress to the elimination targets by 2023.","DOI":"10.1101/2023.11.07.23298207","language":"en","publisher":"Infectious Diseases (except HIV/AIDS)","source":"DOI.org (Crossref)","title":"Country wide surveillance reveals prevalent artemisinin partial resistance mutations with evidence for multiple origins and expansion of high level sulfadoxine-pyrimethamine resistance mutations in northwest Tanzania","URL":"http://medrxiv.org/lookup/doi/10.1101/2023.11.07.23298207","author":[{"family":"Juliano","given":"Jonathan J."},{"family":"Giesbrecht","given":"David J."},{"family":"Simkin","given":"Alfred"},{"family":"Fola","given":"Abebe A."},{"family":"Lyimo","given":"Beatus M."},{"family":"Pereus","given":"Dativa"},{"family":"Bakari","given":"Catherine"},{"family":"Madebe","given":"Rashid A."},{"family":"Seth","given":"Misago D."},{"family":"Mandara","given":"Celine I."},{"family":"Popkin-Hall","given":"Zachary R."},{"family":"Moshi","given":"Ramadhan"},{"family":"Mbwambo","given":"Ruth B."},{"family":"Niaré","given":"Karamoko"},{"family":"MacInnis","given":"Bronwyn"},{"family":"Francis","given":"Filbert"},{"family":"Mbwambo","given":"Daniel"},{"family":"Garimo","given":"Issa"},{"family":"Chacky","given":"Frank"},{"family":"Aaron","given":"Sijenunu"},{"family":"Lusasi","given":"Abdallah"},{"family":"Molteni","given":"Fabrizio"},{"family":"Njau","given":"Ritha J. A."},{"family":"Lazaro","given":"Samwel"},{"family":"Mohamed","given":"Ally"},{"family":"Bailey","given":"Jeffrey A."},{"family":"Ishengoma","given":"Deus S."}],"accessed":{"date-parts":[["2026",9,4]]},"issued":{"date-parts":[["2023",11,8]]}}}],"schema":"https://github.com/citation-style-language/schema/raw/master/csl-citation.json"} </w:instrText>
      </w:r>
      <w:r w:rsidR="008E22DB">
        <w:fldChar w:fldCharType="separate"/>
      </w:r>
      <w:r w:rsidR="00A77C8E">
        <w:rPr>
          <w:noProof/>
        </w:rPr>
        <w:t>[10]</w:t>
      </w:r>
      <w:r w:rsidR="008E22DB">
        <w:fldChar w:fldCharType="end"/>
      </w:r>
      <w:r>
        <w:t>. Available data indicated that 561H was concentrated in Kagera, where its frequency was approximately 22% in 2022, while frequencies in the other modeled regions were 0% or unavailable. To match this pattern in the 47% private-market scenario, importation of 561H-carrying infections into Kagera was included. In the simulation, importation was implemented as a conversion from a naïve parasite strain to a 561H-carrying resistant strain, rather than as the introduction of additional infections, to avoid substantially altering the transmission dynamics of the model. An adaptive importation process was used, increasing from 2 converted 561H cases per day in 2018 to 8 converted cases per day in 2021</w:t>
      </w:r>
      <w:r w:rsidR="00FC0492">
        <w:t xml:space="preserve"> in </w:t>
      </w:r>
      <w:r w:rsidR="00FC0492">
        <w:rPr>
          <w:rFonts w:ascii="Calibri" w:hAnsi="Calibri" w:cs="Calibri"/>
        </w:rPr>
        <w:t>order to re-produce the rapid increase of 561H in Kagera</w:t>
      </w:r>
      <w:r w:rsidR="00B375F4">
        <w:rPr>
          <w:rFonts w:ascii="Calibri" w:hAnsi="Calibri" w:cs="Calibri"/>
        </w:rPr>
        <w:t xml:space="preserve"> while maintain the low 561H frequency in other regions</w:t>
      </w:r>
      <w:r>
        <w:t>. Under the 10% private-market scenario, the simulated 561H frequency naturally fell within the target range without requiring additional importation.</w:t>
      </w:r>
    </w:p>
    <w:p w14:paraId="0DFC3869" w14:textId="77777777" w:rsidR="00860E5B" w:rsidRDefault="00860E5B" w:rsidP="00AF6A76">
      <w:pPr>
        <w:ind w:firstLine="709"/>
      </w:pPr>
    </w:p>
    <w:p w14:paraId="2874EC5A" w14:textId="1C8C453C" w:rsidR="00860E5B" w:rsidRDefault="00860E5B" w:rsidP="00AF6A76">
      <w:pPr>
        <w:ind w:firstLine="709"/>
        <w:rPr>
          <w:rFonts w:ascii="Bierstadt" w:hAnsi="Bierstadt" w:cs="Times New Roman"/>
          <w:color w:val="4EA72E" w:themeColor="accent6"/>
          <w:sz w:val="22"/>
          <w:szCs w:val="22"/>
        </w:rPr>
      </w:pPr>
      <w:r w:rsidRPr="003A71B2">
        <w:rPr>
          <w:rFonts w:ascii="Bierstadt" w:hAnsi="Bierstadt" w:cs="Times New Roman"/>
          <w:color w:val="4EA72E" w:themeColor="accent6"/>
          <w:sz w:val="22"/>
          <w:szCs w:val="22"/>
        </w:rPr>
        <w:t xml:space="preserve">The initial strategy set contained 102 strategies; however, duplicate strategies were removed when some three-year and four-year cycling schedules produced equivalent treatment sequences over the six-year evaluation period. Duplicate region-specific strategies were also removed when they were equivalent to non-region-specific strategies; for example, “Kagera ASAQ, other regions ASAQ, delay 0 years” was equivalent to a full switch to ASAQ. After removing these duplicates, the final strategy set contained 87 unique strategies for the six-year evaluation period. Strategies </w:t>
      </w:r>
      <w:r w:rsidRPr="003A71B2">
        <w:rPr>
          <w:rFonts w:ascii="Bierstadt" w:hAnsi="Bierstadt" w:cs="Times New Roman"/>
          <w:color w:val="4EA72E" w:themeColor="accent6"/>
          <w:sz w:val="22"/>
          <w:szCs w:val="22"/>
        </w:rPr>
        <w:lastRenderedPageBreak/>
        <w:t>included continued first-line use of artemether–lumefantrine, switches to alternative ACTs, multiple first-line therapy approaches, and rotational deployment strategies.</w:t>
      </w:r>
    </w:p>
    <w:p w14:paraId="4C48BF80" w14:textId="77777777" w:rsidR="00860E5B" w:rsidRDefault="00860E5B">
      <w:pPr>
        <w:spacing w:after="160" w:line="278" w:lineRule="auto"/>
        <w:jc w:val="left"/>
        <w:rPr>
          <w:rFonts w:ascii="Bierstadt" w:hAnsi="Bierstadt" w:cs="Times New Roman"/>
          <w:color w:val="4EA72E" w:themeColor="accent6"/>
          <w:sz w:val="22"/>
          <w:szCs w:val="22"/>
        </w:rPr>
      </w:pPr>
      <w:r>
        <w:rPr>
          <w:rFonts w:ascii="Bierstadt" w:hAnsi="Bierstadt" w:cs="Times New Roman"/>
          <w:color w:val="4EA72E" w:themeColor="accent6"/>
          <w:sz w:val="22"/>
          <w:szCs w:val="22"/>
        </w:rPr>
        <w:br w:type="page"/>
      </w:r>
    </w:p>
    <w:p w14:paraId="2156DDEB" w14:textId="77777777" w:rsidR="00860E5B" w:rsidRDefault="00860E5B" w:rsidP="00AF6A76">
      <w:pPr>
        <w:ind w:firstLine="709"/>
      </w:pPr>
    </w:p>
    <w:p w14:paraId="7A508BA9" w14:textId="77777777" w:rsidR="00275F34" w:rsidRDefault="0071395E" w:rsidP="00537191">
      <w:r w:rsidRPr="0071395E">
        <w:rPr>
          <w:noProof/>
        </w:rPr>
        <w:drawing>
          <wp:inline distT="0" distB="0" distL="0" distR="0" wp14:anchorId="6E2F6C93" wp14:editId="1D440AC7">
            <wp:extent cx="5943600" cy="2744470"/>
            <wp:effectExtent l="0" t="0" r="0" b="0"/>
            <wp:docPr id="165033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35322" name=""/>
                    <pic:cNvPicPr/>
                  </pic:nvPicPr>
                  <pic:blipFill>
                    <a:blip r:embed="rId9"/>
                    <a:stretch>
                      <a:fillRect/>
                    </a:stretch>
                  </pic:blipFill>
                  <pic:spPr>
                    <a:xfrm>
                      <a:off x="0" y="0"/>
                      <a:ext cx="5943600" cy="2744470"/>
                    </a:xfrm>
                    <a:prstGeom prst="rect">
                      <a:avLst/>
                    </a:prstGeom>
                  </pic:spPr>
                </pic:pic>
              </a:graphicData>
            </a:graphic>
          </wp:inline>
        </w:drawing>
      </w:r>
    </w:p>
    <w:p w14:paraId="7F0AC64E" w14:textId="4D2D3645" w:rsidR="00043D53" w:rsidRDefault="00043D53" w:rsidP="00043D53">
      <w:pPr>
        <w:rPr>
          <w:sz w:val="18"/>
          <w:szCs w:val="18"/>
        </w:rPr>
      </w:pPr>
      <w:r w:rsidRPr="00043D53">
        <w:rPr>
          <w:b/>
          <w:bCs/>
          <w:sz w:val="18"/>
          <w:szCs w:val="18"/>
        </w:rPr>
        <w:t xml:space="preserve">Supplementary Figure </w:t>
      </w:r>
      <w:r w:rsidR="00CF4419">
        <w:rPr>
          <w:b/>
          <w:bCs/>
          <w:sz w:val="18"/>
          <w:szCs w:val="18"/>
        </w:rPr>
        <w:t>3</w:t>
      </w:r>
      <w:r w:rsidRPr="00043D53">
        <w:rPr>
          <w:b/>
          <w:bCs/>
          <w:sz w:val="18"/>
          <w:szCs w:val="18"/>
        </w:rPr>
        <w:t>.</w:t>
      </w:r>
      <w:r w:rsidRPr="00043D53">
        <w:rPr>
          <w:sz w:val="18"/>
          <w:szCs w:val="18"/>
        </w:rPr>
        <w:t xml:space="preserve"> Calibration of resistance-associated genotype frequencies across the four modeled regions of northwest Tanzania under the </w:t>
      </w:r>
      <w:r>
        <w:rPr>
          <w:sz w:val="18"/>
          <w:szCs w:val="18"/>
        </w:rPr>
        <w:t>47</w:t>
      </w:r>
      <w:r w:rsidRPr="00043D53">
        <w:rPr>
          <w:sz w:val="18"/>
          <w:szCs w:val="18"/>
        </w:rPr>
        <w:t xml:space="preserve">% private-market scenario. Lines show simulated monthly genotype frequencies over time for pfmdr1 86Y, pfmdr1 184F, pfcrt 76T, and pfkelch13 561H in Kagera, Kigoma, Mwanza, and Geita under the normal pfmdr1 86Y and pfcrt 76T baseline-frequency scenario. Points show reference genotype-frequency estimates used for calibration, </w:t>
      </w:r>
      <w:r w:rsidR="007F128B" w:rsidRPr="007F128B">
        <w:rPr>
          <w:sz w:val="18"/>
          <w:szCs w:val="18"/>
        </w:rPr>
        <w:t>including published molecular-marker estimates from northwest Tanzania for pfmdr1 86Y, pfmdr1 184F, and pfcrt 76T</w:t>
      </w:r>
      <w:r w:rsidR="007F128B">
        <w:rPr>
          <w:sz w:val="18"/>
          <w:szCs w:val="18"/>
        </w:rPr>
        <w:t>,</w:t>
      </w:r>
      <w:r w:rsidRPr="00043D53">
        <w:rPr>
          <w:sz w:val="18"/>
          <w:szCs w:val="18"/>
        </w:rPr>
        <w:t xml:space="preserve"> and available regional estimates for pfkelch13 561H. Shaded bands show the 90% percentile interval across simulations. The model reproduced the overall temporal trends in partner-drug resistance-associated alleles and the observed spatial concentration of pfkelch13 561H in Kagera, where 561H frequency was substantially higher than in the other modeled regions.</w:t>
      </w:r>
    </w:p>
    <w:p w14:paraId="5B669E89" w14:textId="77777777" w:rsidR="00275F34" w:rsidRDefault="00275F34" w:rsidP="00537191"/>
    <w:p w14:paraId="0ADCE5E2" w14:textId="77777777" w:rsidR="00275F34" w:rsidRDefault="00DA0DE2" w:rsidP="00537191">
      <w:r w:rsidRPr="00DA0DE2">
        <w:rPr>
          <w:noProof/>
        </w:rPr>
        <w:drawing>
          <wp:inline distT="0" distB="0" distL="0" distR="0" wp14:anchorId="61E5EAD2" wp14:editId="24190A5B">
            <wp:extent cx="5943600" cy="2744470"/>
            <wp:effectExtent l="0" t="0" r="0" b="0"/>
            <wp:docPr id="127272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22007" name=""/>
                    <pic:cNvPicPr/>
                  </pic:nvPicPr>
                  <pic:blipFill>
                    <a:blip r:embed="rId10"/>
                    <a:stretch>
                      <a:fillRect/>
                    </a:stretch>
                  </pic:blipFill>
                  <pic:spPr>
                    <a:xfrm>
                      <a:off x="0" y="0"/>
                      <a:ext cx="5943600" cy="2744470"/>
                    </a:xfrm>
                    <a:prstGeom prst="rect">
                      <a:avLst/>
                    </a:prstGeom>
                  </pic:spPr>
                </pic:pic>
              </a:graphicData>
            </a:graphic>
          </wp:inline>
        </w:drawing>
      </w:r>
    </w:p>
    <w:p w14:paraId="576BC918" w14:textId="26DA2ECD" w:rsidR="00275F34" w:rsidRDefault="00043D53" w:rsidP="00537191">
      <w:pPr>
        <w:rPr>
          <w:sz w:val="18"/>
          <w:szCs w:val="18"/>
        </w:rPr>
      </w:pPr>
      <w:r w:rsidRPr="00043D53">
        <w:rPr>
          <w:b/>
          <w:bCs/>
          <w:sz w:val="18"/>
          <w:szCs w:val="18"/>
        </w:rPr>
        <w:t xml:space="preserve">Supplementary Figure </w:t>
      </w:r>
      <w:r w:rsidR="00CF4419">
        <w:rPr>
          <w:b/>
          <w:bCs/>
          <w:sz w:val="18"/>
          <w:szCs w:val="18"/>
        </w:rPr>
        <w:t>4</w:t>
      </w:r>
      <w:r w:rsidRPr="00043D53">
        <w:rPr>
          <w:b/>
          <w:bCs/>
          <w:sz w:val="18"/>
          <w:szCs w:val="18"/>
        </w:rPr>
        <w:t>.</w:t>
      </w:r>
      <w:r w:rsidRPr="00043D53">
        <w:rPr>
          <w:sz w:val="18"/>
          <w:szCs w:val="18"/>
        </w:rPr>
        <w:t xml:space="preserve"> Calibration of resistance-associated genotype frequencies across the four modeled regions of northwest Tanzania under the 10% private-market scenario. Lines show simulated monthly genotype frequencies over time for pfmdr1 86Y, </w:t>
      </w:r>
      <w:r w:rsidRPr="00043D53">
        <w:rPr>
          <w:sz w:val="18"/>
          <w:szCs w:val="18"/>
        </w:rPr>
        <w:lastRenderedPageBreak/>
        <w:t xml:space="preserve">pfmdr1 184F, pfcrt 76T, and pfkelch13 561H in Kagera, Kigoma, Mwanza, and Geita under the normal pfmdr1 86Y and pfcrt 76T baseline-frequency scenario. Points show reference genotype-frequency estimates used for calibration, </w:t>
      </w:r>
      <w:r w:rsidR="007F128B" w:rsidRPr="007F128B">
        <w:rPr>
          <w:sz w:val="18"/>
          <w:szCs w:val="18"/>
        </w:rPr>
        <w:t>including published molecular-marker estimates from northwest Tanzania for pfmdr1 86Y, pfmdr1 184F, and pfcrt 76T</w:t>
      </w:r>
      <w:r w:rsidRPr="00043D53">
        <w:rPr>
          <w:sz w:val="18"/>
          <w:szCs w:val="18"/>
        </w:rPr>
        <w:t>, and available regional estimates for pfkelch13 561H. Shaded bands show the 90% percentile interval across simulations. The model reproduced the overall temporal trends in partner-drug resistance-associated alleles and the observed spatial concentration of pfkelch13 561H in Kagera, where 561H frequency was substantially higher than in the other modeled regions.</w:t>
      </w:r>
    </w:p>
    <w:p w14:paraId="5D0E8E2F" w14:textId="77777777" w:rsidR="00043D53" w:rsidRPr="00043D53" w:rsidRDefault="00043D53" w:rsidP="00537191">
      <w:pPr>
        <w:rPr>
          <w:sz w:val="18"/>
          <w:szCs w:val="18"/>
        </w:rPr>
      </w:pPr>
    </w:p>
    <w:p w14:paraId="12719391" w14:textId="77777777" w:rsidR="00275F34" w:rsidRDefault="0071395E" w:rsidP="00537191">
      <w:r w:rsidRPr="0071395E">
        <w:rPr>
          <w:noProof/>
        </w:rPr>
        <w:drawing>
          <wp:inline distT="0" distB="0" distL="0" distR="0" wp14:anchorId="375D3132" wp14:editId="35AE156A">
            <wp:extent cx="5943600" cy="2744470"/>
            <wp:effectExtent l="0" t="0" r="0" b="0"/>
            <wp:docPr id="188370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03945" name=""/>
                    <pic:cNvPicPr/>
                  </pic:nvPicPr>
                  <pic:blipFill>
                    <a:blip r:embed="rId11"/>
                    <a:stretch>
                      <a:fillRect/>
                    </a:stretch>
                  </pic:blipFill>
                  <pic:spPr>
                    <a:xfrm>
                      <a:off x="0" y="0"/>
                      <a:ext cx="5943600" cy="2744470"/>
                    </a:xfrm>
                    <a:prstGeom prst="rect">
                      <a:avLst/>
                    </a:prstGeom>
                  </pic:spPr>
                </pic:pic>
              </a:graphicData>
            </a:graphic>
          </wp:inline>
        </w:drawing>
      </w:r>
    </w:p>
    <w:p w14:paraId="2A36EA22" w14:textId="5522A1AB" w:rsidR="0071395E" w:rsidRDefault="0071395E" w:rsidP="00537191">
      <w:pPr>
        <w:rPr>
          <w:sz w:val="18"/>
          <w:szCs w:val="18"/>
        </w:rPr>
      </w:pPr>
      <w:r w:rsidRPr="0071395E">
        <w:rPr>
          <w:b/>
          <w:bCs/>
          <w:sz w:val="18"/>
          <w:szCs w:val="18"/>
        </w:rPr>
        <w:t xml:space="preserve">Supplementary Figure </w:t>
      </w:r>
      <w:r w:rsidR="00CF4419">
        <w:rPr>
          <w:b/>
          <w:bCs/>
          <w:sz w:val="18"/>
          <w:szCs w:val="18"/>
        </w:rPr>
        <w:t>5</w:t>
      </w:r>
      <w:r w:rsidRPr="0071395E">
        <w:rPr>
          <w:b/>
          <w:bCs/>
          <w:sz w:val="18"/>
          <w:szCs w:val="18"/>
        </w:rPr>
        <w:t>.</w:t>
      </w:r>
      <w:r w:rsidRPr="0071395E">
        <w:rPr>
          <w:sz w:val="18"/>
          <w:szCs w:val="18"/>
        </w:rPr>
        <w:t xml:space="preserve"> Calibration of resistance-associated genotype frequencies across the four modeled regions of northwest Tanzania under the lower pfmdr1 86Y and pfcrt 76T frequency and </w:t>
      </w:r>
      <w:r>
        <w:rPr>
          <w:sz w:val="18"/>
          <w:szCs w:val="18"/>
        </w:rPr>
        <w:t>47</w:t>
      </w:r>
      <w:r w:rsidRPr="0071395E">
        <w:rPr>
          <w:sz w:val="18"/>
          <w:szCs w:val="18"/>
        </w:rPr>
        <w:t xml:space="preserve">% private-market scenario. Lines show simulated monthly genotype frequencies over time for pfmdr1 86Y, pfmdr1 184F, pfcrt 76T, and pfkelch13 561H in Kagera, Kigoma, Mwanza, and Geita. Points show reference genotype-frequency estimates used for calibration, </w:t>
      </w:r>
      <w:r w:rsidR="007F128B" w:rsidRPr="007F128B">
        <w:rPr>
          <w:sz w:val="18"/>
          <w:szCs w:val="18"/>
        </w:rPr>
        <w:t>including published molecular-marker estimates from northwest Tanzania for pfmdr1 86Y, pfmdr1 184F, and pfcrt 76T</w:t>
      </w:r>
      <w:r w:rsidRPr="0071395E">
        <w:rPr>
          <w:sz w:val="18"/>
          <w:szCs w:val="18"/>
        </w:rPr>
        <w:t>, and available regional estimates for pfkelch13 561H. Shaded bands show the 90% percentile interval across simulations. This sensitivity scenario was calibrated to keep 2025 pfmdr1 86Y and pfcrt 76T frequencies as low as possible while maintaining consistency with the available genotype-frequency data and the observed spatial concentration of pfkelch13 561H in Kagera.</w:t>
      </w:r>
    </w:p>
    <w:p w14:paraId="17C0E6A2" w14:textId="77777777" w:rsidR="0071395E" w:rsidRDefault="0071395E" w:rsidP="00537191"/>
    <w:p w14:paraId="5E5C84E1" w14:textId="77777777" w:rsidR="00275F34" w:rsidRDefault="0071395E" w:rsidP="00537191">
      <w:r w:rsidRPr="0071395E">
        <w:rPr>
          <w:noProof/>
        </w:rPr>
        <w:lastRenderedPageBreak/>
        <w:drawing>
          <wp:inline distT="0" distB="0" distL="0" distR="0" wp14:anchorId="2C8B0F79" wp14:editId="5588C302">
            <wp:extent cx="5943600" cy="2744470"/>
            <wp:effectExtent l="0" t="0" r="0" b="0"/>
            <wp:docPr id="128294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44793" name=""/>
                    <pic:cNvPicPr/>
                  </pic:nvPicPr>
                  <pic:blipFill>
                    <a:blip r:embed="rId12"/>
                    <a:stretch>
                      <a:fillRect/>
                    </a:stretch>
                  </pic:blipFill>
                  <pic:spPr>
                    <a:xfrm>
                      <a:off x="0" y="0"/>
                      <a:ext cx="5943600" cy="2744470"/>
                    </a:xfrm>
                    <a:prstGeom prst="rect">
                      <a:avLst/>
                    </a:prstGeom>
                  </pic:spPr>
                </pic:pic>
              </a:graphicData>
            </a:graphic>
          </wp:inline>
        </w:drawing>
      </w:r>
    </w:p>
    <w:p w14:paraId="1E629624" w14:textId="39EF21D8" w:rsidR="00537191" w:rsidRPr="00470AB9" w:rsidRDefault="00470AB9" w:rsidP="00537191">
      <w:pPr>
        <w:rPr>
          <w:sz w:val="18"/>
          <w:szCs w:val="18"/>
        </w:rPr>
      </w:pPr>
      <w:r w:rsidRPr="00470AB9">
        <w:rPr>
          <w:b/>
          <w:bCs/>
          <w:sz w:val="18"/>
          <w:szCs w:val="18"/>
        </w:rPr>
        <w:t xml:space="preserve">Supplementary Figure </w:t>
      </w:r>
      <w:r w:rsidR="00CF4419">
        <w:rPr>
          <w:b/>
          <w:bCs/>
          <w:sz w:val="18"/>
          <w:szCs w:val="18"/>
        </w:rPr>
        <w:t>6</w:t>
      </w:r>
      <w:r w:rsidRPr="00470AB9">
        <w:rPr>
          <w:b/>
          <w:bCs/>
          <w:sz w:val="18"/>
          <w:szCs w:val="18"/>
        </w:rPr>
        <w:t>.</w:t>
      </w:r>
      <w:r w:rsidRPr="00470AB9">
        <w:rPr>
          <w:sz w:val="18"/>
          <w:szCs w:val="18"/>
        </w:rPr>
        <w:t xml:space="preserve"> Calibration of resistance-associated genotype frequencies across the four modeled regions of northwest Tanzania under the lower pfmdr1 86Y and pfcrt 76T frequency </w:t>
      </w:r>
      <w:r w:rsidR="0071395E">
        <w:rPr>
          <w:sz w:val="18"/>
          <w:szCs w:val="18"/>
        </w:rPr>
        <w:t xml:space="preserve">and </w:t>
      </w:r>
      <w:r w:rsidR="0071395E" w:rsidRPr="0071395E">
        <w:rPr>
          <w:sz w:val="18"/>
          <w:szCs w:val="18"/>
        </w:rPr>
        <w:t xml:space="preserve">10% private-market </w:t>
      </w:r>
      <w:r w:rsidRPr="00470AB9">
        <w:rPr>
          <w:sz w:val="18"/>
          <w:szCs w:val="18"/>
        </w:rPr>
        <w:t xml:space="preserve">scenario. Lines show simulated monthly genotype frequencies over time for pfmdr1 86Y, pfmdr1 184F, pfcrt 76T, and pfkelch13 561H in Kagera, Kigoma, Mwanza, and Geita. Points show reference genotype-frequency estimates used for calibration, </w:t>
      </w:r>
      <w:r w:rsidR="007F128B" w:rsidRPr="007F128B">
        <w:rPr>
          <w:sz w:val="18"/>
          <w:szCs w:val="18"/>
        </w:rPr>
        <w:t>including published molecular-marker estimates from northwest Tanzania for pfmdr1 86Y, pfmdr1 184F, and pfcrt 76T</w:t>
      </w:r>
      <w:r w:rsidRPr="00470AB9">
        <w:rPr>
          <w:sz w:val="18"/>
          <w:szCs w:val="18"/>
        </w:rPr>
        <w:t>, and available regional estimates for pfkelch13 561H. Shaded bands show the 90% percentile interval across simulations. This sensitivity scenario was calibrated to keep 2025 pfmdr1 86Y and pfcrt 76T frequencies as low as possible while maintaining consistency with the available genotype-frequency data and the observed spatial concentration of pfkelch13 561H in Kagera.</w:t>
      </w:r>
    </w:p>
    <w:p w14:paraId="472693DB" w14:textId="77777777" w:rsidR="00941C7A" w:rsidRDefault="00941C7A">
      <w:pPr>
        <w:spacing w:after="160" w:line="278" w:lineRule="auto"/>
        <w:jc w:val="left"/>
        <w:rPr>
          <w:rFonts w:eastAsia="Times New Roman" w:cs="Times New Roman"/>
          <w:b/>
          <w:bCs/>
          <w:kern w:val="0"/>
          <w:sz w:val="27"/>
          <w:szCs w:val="27"/>
          <w14:ligatures w14:val="none"/>
        </w:rPr>
      </w:pPr>
      <w:r>
        <w:rPr>
          <w:rFonts w:eastAsia="Times New Roman" w:cs="Times New Roman"/>
          <w:b/>
          <w:bCs/>
          <w:kern w:val="0"/>
          <w:sz w:val="27"/>
          <w:szCs w:val="27"/>
          <w14:ligatures w14:val="none"/>
        </w:rPr>
        <w:br w:type="page"/>
      </w:r>
    </w:p>
    <w:p w14:paraId="2E031BEA" w14:textId="77777777" w:rsidR="005134C5" w:rsidRPr="0015048C" w:rsidRDefault="00537191" w:rsidP="0015048C">
      <w:pPr>
        <w:spacing w:before="100" w:beforeAutospacing="1" w:after="100" w:afterAutospacing="1" w:line="240" w:lineRule="auto"/>
        <w:outlineLvl w:val="2"/>
        <w:rPr>
          <w:rFonts w:eastAsia="Times New Roman" w:cs="Times New Roman"/>
          <w:b/>
          <w:bCs/>
          <w:kern w:val="0"/>
          <w:sz w:val="27"/>
          <w:szCs w:val="27"/>
          <w14:ligatures w14:val="none"/>
        </w:rPr>
      </w:pPr>
      <w:r w:rsidRPr="00D07EEB">
        <w:rPr>
          <w:rFonts w:eastAsia="Times New Roman" w:cs="Times New Roman"/>
          <w:b/>
          <w:bCs/>
          <w:kern w:val="0"/>
          <w:sz w:val="27"/>
          <w:szCs w:val="27"/>
          <w14:ligatures w14:val="none"/>
        </w:rPr>
        <w:lastRenderedPageBreak/>
        <w:t>S2. Supplementary Figures</w:t>
      </w:r>
      <w:bookmarkEnd w:id="0"/>
    </w:p>
    <w:p w14:paraId="4852B44D" w14:textId="38904B19" w:rsidR="00755F0E" w:rsidRDefault="00F02C1B" w:rsidP="00755F0E">
      <w:r>
        <w:rPr>
          <w:noProof/>
        </w:rPr>
        <w:drawing>
          <wp:inline distT="0" distB="0" distL="0" distR="0" wp14:anchorId="129DDE98" wp14:editId="25E9260C">
            <wp:extent cx="5943600" cy="3467100"/>
            <wp:effectExtent l="0" t="0" r="0" b="0"/>
            <wp:docPr id="54711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11859" name="Picture 5471118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27DBD513" w14:textId="5894E221" w:rsidR="006578D1" w:rsidRDefault="006578D1" w:rsidP="00755F0E">
      <w:pPr>
        <w:rPr>
          <w:b/>
          <w:bCs/>
          <w:sz w:val="18"/>
          <w:szCs w:val="18"/>
        </w:rPr>
      </w:pPr>
      <w:r w:rsidRPr="006578D1">
        <w:rPr>
          <w:b/>
          <w:bCs/>
          <w:sz w:val="18"/>
          <w:szCs w:val="18"/>
        </w:rPr>
        <w:t xml:space="preserve">Supplementary Figure </w:t>
      </w:r>
      <w:r w:rsidR="00CF4419">
        <w:rPr>
          <w:b/>
          <w:bCs/>
          <w:sz w:val="18"/>
          <w:szCs w:val="18"/>
        </w:rPr>
        <w:t>7</w:t>
      </w:r>
      <w:r w:rsidRPr="006578D1">
        <w:rPr>
          <w:b/>
          <w:bCs/>
          <w:sz w:val="18"/>
          <w:szCs w:val="18"/>
        </w:rPr>
        <w:t xml:space="preserve">. </w:t>
      </w:r>
      <w:r w:rsidRPr="006578D1">
        <w:rPr>
          <w:sz w:val="18"/>
          <w:szCs w:val="18"/>
        </w:rPr>
        <w:t>Relationship between population-level artemether–lumefantrine use and projected treatment failures under the 10% private-market scenario with normal pfmdr1 86Y and pfcrt 76T baseline frequencies. This figure is analogous to Figure 3 in the main text. Strategies are grouped by the average percentage of malaria cases treated with artemether</w:t>
      </w:r>
      <w:r>
        <w:rPr>
          <w:sz w:val="18"/>
          <w:szCs w:val="18"/>
        </w:rPr>
        <w:t>-</w:t>
      </w:r>
      <w:r w:rsidRPr="006578D1">
        <w:rPr>
          <w:sz w:val="18"/>
          <w:szCs w:val="18"/>
        </w:rPr>
        <w:t>lumefantrine (AL) across both public- and private-sector treatment. Each boxplot summarizes projected treatment failure outcomes across strategies with the same population-level AL use, with jittered points representing individual simulation outcomes. A positive association was observed between AL use and projected treatment failure burden (Pearson r = 0.76, p &lt; 2.2 × 10</w:t>
      </w:r>
      <w:r w:rsidRPr="006578D1">
        <w:rPr>
          <w:rFonts w:ascii="Cambria Math" w:hAnsi="Cambria Math" w:cs="Cambria Math"/>
          <w:sz w:val="18"/>
          <w:szCs w:val="18"/>
          <w:vertAlign w:val="superscript"/>
        </w:rPr>
        <w:t>-16</w:t>
      </w:r>
      <w:r w:rsidRPr="006578D1">
        <w:rPr>
          <w:sz w:val="18"/>
          <w:szCs w:val="18"/>
        </w:rPr>
        <w:t>), indicating that greater reliance on AL remained associated with higher treatment failures even when private-sector treatment was reduced to 10%.</w:t>
      </w:r>
    </w:p>
    <w:p w14:paraId="378A1158" w14:textId="5C4FD041" w:rsidR="00755F0E" w:rsidRDefault="00F02C1B" w:rsidP="00755F0E">
      <w:pPr>
        <w:rPr>
          <w:sz w:val="18"/>
          <w:szCs w:val="18"/>
        </w:rPr>
      </w:pPr>
      <w:r>
        <w:rPr>
          <w:noProof/>
          <w:sz w:val="18"/>
          <w:szCs w:val="18"/>
        </w:rPr>
        <w:lastRenderedPageBreak/>
        <w:drawing>
          <wp:inline distT="0" distB="0" distL="0" distR="0" wp14:anchorId="7CF53190" wp14:editId="2F8BEBFD">
            <wp:extent cx="5943600" cy="3467100"/>
            <wp:effectExtent l="0" t="0" r="0" b="0"/>
            <wp:docPr id="2145846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46333" name="Picture 21458463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46C835D5" w14:textId="2A5C8980" w:rsidR="00663AF0" w:rsidRDefault="006578D1" w:rsidP="00755F0E">
      <w:pPr>
        <w:rPr>
          <w:sz w:val="18"/>
          <w:szCs w:val="18"/>
        </w:rPr>
      </w:pPr>
      <w:r w:rsidRPr="006578D1">
        <w:rPr>
          <w:b/>
          <w:bCs/>
          <w:sz w:val="18"/>
          <w:szCs w:val="18"/>
        </w:rPr>
        <w:t xml:space="preserve">Supplementary Figure </w:t>
      </w:r>
      <w:r w:rsidR="00CF4419">
        <w:rPr>
          <w:b/>
          <w:bCs/>
          <w:sz w:val="18"/>
          <w:szCs w:val="18"/>
        </w:rPr>
        <w:t>8</w:t>
      </w:r>
      <w:r w:rsidRPr="006578D1">
        <w:rPr>
          <w:b/>
          <w:bCs/>
          <w:sz w:val="18"/>
          <w:szCs w:val="18"/>
        </w:rPr>
        <w:t xml:space="preserve">. </w:t>
      </w:r>
      <w:r w:rsidRPr="006578D1">
        <w:rPr>
          <w:sz w:val="18"/>
          <w:szCs w:val="18"/>
        </w:rPr>
        <w:t>Relationship between population-level artemether–lumefantrine use and projected treatment failures under the 47% private-market scenario with lower pfmdr1 86Y and pfcrt 76T baseline frequencies. This figure is analogous to Figure 3 in the main text. Strategies are grouped by the average percentage of malaria cases treated with artemether</w:t>
      </w:r>
      <w:r>
        <w:rPr>
          <w:sz w:val="18"/>
          <w:szCs w:val="18"/>
        </w:rPr>
        <w:t>-</w:t>
      </w:r>
      <w:r w:rsidRPr="006578D1">
        <w:rPr>
          <w:sz w:val="18"/>
          <w:szCs w:val="18"/>
        </w:rPr>
        <w:t>lumefantrine (AL) across both public- and private-sector treatment. Each boxplot summarizes projected treatment failure outcomes across strategies with the same population-level AL use, with jittered points representing individual simulation outcomes. A strong positive association was observed between AL use and projected treatment failure burden (Pearson r = 0.90, p &lt; 2.2 × 10</w:t>
      </w:r>
      <w:r w:rsidRPr="006578D1">
        <w:rPr>
          <w:rFonts w:ascii="Cambria Math" w:hAnsi="Cambria Math" w:cs="Cambria Math"/>
          <w:sz w:val="18"/>
          <w:szCs w:val="18"/>
          <w:vertAlign w:val="superscript"/>
        </w:rPr>
        <w:t>-16</w:t>
      </w:r>
      <w:r w:rsidRPr="006578D1">
        <w:rPr>
          <w:sz w:val="18"/>
          <w:szCs w:val="18"/>
        </w:rPr>
        <w:t>), indicating that greater reliance on AL remained associated with higher treatment failures even under lower baseline pfmdr1 86Y and pfcrt 76T frequencies.</w:t>
      </w:r>
    </w:p>
    <w:p w14:paraId="09C6168E" w14:textId="25A117D7" w:rsidR="00663AF0" w:rsidRDefault="00F02C1B" w:rsidP="00755F0E">
      <w:pPr>
        <w:rPr>
          <w:sz w:val="18"/>
          <w:szCs w:val="18"/>
        </w:rPr>
      </w:pPr>
      <w:r>
        <w:rPr>
          <w:noProof/>
          <w:sz w:val="18"/>
          <w:szCs w:val="18"/>
        </w:rPr>
        <w:lastRenderedPageBreak/>
        <w:drawing>
          <wp:inline distT="0" distB="0" distL="0" distR="0" wp14:anchorId="301C61C8" wp14:editId="19BE2B32">
            <wp:extent cx="5943600" cy="3467100"/>
            <wp:effectExtent l="0" t="0" r="0" b="0"/>
            <wp:docPr id="2101990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90191" name="Picture 21019901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0F5C07D3" w14:textId="22A877DB" w:rsidR="007F51BC" w:rsidRDefault="006578D1" w:rsidP="00755F0E">
      <w:pPr>
        <w:rPr>
          <w:sz w:val="18"/>
          <w:szCs w:val="18"/>
        </w:rPr>
      </w:pPr>
      <w:r w:rsidRPr="006578D1">
        <w:rPr>
          <w:b/>
          <w:bCs/>
          <w:sz w:val="18"/>
          <w:szCs w:val="18"/>
        </w:rPr>
        <w:t xml:space="preserve">Supplementary Figure </w:t>
      </w:r>
      <w:r w:rsidR="00CF4419">
        <w:rPr>
          <w:b/>
          <w:bCs/>
          <w:sz w:val="18"/>
          <w:szCs w:val="18"/>
        </w:rPr>
        <w:t>9</w:t>
      </w:r>
      <w:r w:rsidRPr="006578D1">
        <w:rPr>
          <w:b/>
          <w:bCs/>
          <w:sz w:val="18"/>
          <w:szCs w:val="18"/>
        </w:rPr>
        <w:t xml:space="preserve">. </w:t>
      </w:r>
      <w:r w:rsidRPr="006578D1">
        <w:rPr>
          <w:sz w:val="18"/>
          <w:szCs w:val="18"/>
        </w:rPr>
        <w:t>Relationship between population-level artemether–lumefantrine use and projected treatment failures under the 10% private-market scenario with lower pfmdr1 86Y and pfcrt 76T baseline frequencies. This figure is analogous to Figure 3 in the main text. Strategies are grouped by the average percentage of malaria cases treated with artemether</w:t>
      </w:r>
      <w:r>
        <w:rPr>
          <w:sz w:val="18"/>
          <w:szCs w:val="18"/>
        </w:rPr>
        <w:t>-</w:t>
      </w:r>
      <w:r w:rsidRPr="006578D1">
        <w:rPr>
          <w:sz w:val="18"/>
          <w:szCs w:val="18"/>
        </w:rPr>
        <w:t>lumefantrine (AL) across both public- and private-sector treatment. Each boxplot summarizes projected treatment failure outcomes across strategies with the same population-level AL use, with jittered points representing individual simulation outcomes. A positive association was observed between AL use and projected treatment failure burden (Pearson r = 0.75, p &lt; 2.2 × 10</w:t>
      </w:r>
      <w:r w:rsidRPr="006578D1">
        <w:rPr>
          <w:rFonts w:ascii="Cambria Math" w:hAnsi="Cambria Math" w:cs="Cambria Math"/>
          <w:sz w:val="18"/>
          <w:szCs w:val="18"/>
          <w:vertAlign w:val="superscript"/>
        </w:rPr>
        <w:t>-16</w:t>
      </w:r>
      <w:r w:rsidRPr="006578D1">
        <w:rPr>
          <w:sz w:val="18"/>
          <w:szCs w:val="18"/>
        </w:rPr>
        <w:t>), indicating that greater reliance on AL remained associated with higher treatment failures under the reduced private-market and lower baseline-resistance scenario.</w:t>
      </w:r>
    </w:p>
    <w:p w14:paraId="58A4F302" w14:textId="7848AFF8" w:rsidR="00755F0E" w:rsidRDefault="000F1140" w:rsidP="00755F0E">
      <w:pPr>
        <w:rPr>
          <w:sz w:val="18"/>
          <w:szCs w:val="18"/>
        </w:rPr>
      </w:pPr>
      <w:r>
        <w:rPr>
          <w:noProof/>
          <w:sz w:val="18"/>
          <w:szCs w:val="18"/>
        </w:rPr>
        <w:lastRenderedPageBreak/>
        <w:drawing>
          <wp:inline distT="0" distB="0" distL="0" distR="0" wp14:anchorId="1793B98D" wp14:editId="787DAD7F">
            <wp:extent cx="5943600" cy="7332345"/>
            <wp:effectExtent l="0" t="0" r="0" b="0"/>
            <wp:docPr id="178630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06545" name="Picture 17863065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7332345"/>
                    </a:xfrm>
                    <a:prstGeom prst="rect">
                      <a:avLst/>
                    </a:prstGeom>
                  </pic:spPr>
                </pic:pic>
              </a:graphicData>
            </a:graphic>
          </wp:inline>
        </w:drawing>
      </w:r>
    </w:p>
    <w:p w14:paraId="4B0B66E6" w14:textId="162517A9" w:rsidR="0076285D" w:rsidRDefault="004261B7" w:rsidP="00755F0E">
      <w:pPr>
        <w:rPr>
          <w:sz w:val="18"/>
          <w:szCs w:val="18"/>
        </w:rPr>
      </w:pPr>
      <w:r w:rsidRPr="004261B7">
        <w:rPr>
          <w:b/>
          <w:bCs/>
          <w:sz w:val="18"/>
          <w:szCs w:val="18"/>
        </w:rPr>
        <w:t xml:space="preserve">Supplementary Figure </w:t>
      </w:r>
      <w:r w:rsidR="00CF4419">
        <w:rPr>
          <w:b/>
          <w:bCs/>
          <w:sz w:val="18"/>
          <w:szCs w:val="18"/>
        </w:rPr>
        <w:t>10</w:t>
      </w:r>
      <w:r w:rsidRPr="004261B7">
        <w:rPr>
          <w:b/>
          <w:bCs/>
          <w:sz w:val="18"/>
          <w:szCs w:val="18"/>
        </w:rPr>
        <w:t>.</w:t>
      </w:r>
      <w:r w:rsidRPr="004261B7">
        <w:rPr>
          <w:sz w:val="18"/>
          <w:szCs w:val="18"/>
        </w:rPr>
        <w:t xml:space="preserve"> Comparative impact of private-sector market reduction on six-year treatment failure outcomes and pfkelch13 allele frequency under the lower pfmdr1 86Y and pfcrt 76T baseline-frequency scenario. This figure is analogous to Figure 4 in the main text. Each row represents one evaluated ACT deployment strategy, including cycling, multiple first-line therapy, triple ACT, ASPY-containing, delayed-deployment, and region-specific strategies. Panel A shows the relative change in median </w:t>
      </w:r>
      <w:r w:rsidRPr="004261B7">
        <w:rPr>
          <w:sz w:val="18"/>
          <w:szCs w:val="18"/>
        </w:rPr>
        <w:lastRenderedPageBreak/>
        <w:t>monthly average treatment failures compared with the status quo under the 47% and 10% private-market scenarios. Panel B shows the corresponding pfkelch13 allele frequency at the end of the evaluation period under the same two private-market assumptions. Values annotated beside each row indicate the additional gain or loss associated with reducing private-sector treatment from 47% to 10%. Results show that reducing private-sector antimalarial treatment generally improved strategy performance and lowered pfkelch13 allele frequencies even under lower baseline pfmdr1 86Y and pfcrt 76T frequencies.</w:t>
      </w:r>
    </w:p>
    <w:p w14:paraId="0F7750DC" w14:textId="77777777" w:rsidR="004261B7" w:rsidRDefault="004261B7" w:rsidP="00755F0E">
      <w:pPr>
        <w:rPr>
          <w:sz w:val="18"/>
          <w:szCs w:val="18"/>
        </w:rPr>
      </w:pPr>
    </w:p>
    <w:p w14:paraId="6F65D073" w14:textId="77777777" w:rsidR="0076285D" w:rsidRDefault="006A2EDF" w:rsidP="00755F0E">
      <w:pPr>
        <w:rPr>
          <w:sz w:val="18"/>
          <w:szCs w:val="18"/>
        </w:rPr>
      </w:pPr>
      <w:r w:rsidRPr="006A2EDF">
        <w:rPr>
          <w:noProof/>
          <w:sz w:val="18"/>
          <w:szCs w:val="18"/>
        </w:rPr>
        <w:drawing>
          <wp:inline distT="0" distB="0" distL="0" distR="0" wp14:anchorId="70DD0CF5" wp14:editId="6A3A605F">
            <wp:extent cx="5943600" cy="4029710"/>
            <wp:effectExtent l="0" t="0" r="0" b="0"/>
            <wp:docPr id="155440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01942" name=""/>
                    <pic:cNvPicPr/>
                  </pic:nvPicPr>
                  <pic:blipFill>
                    <a:blip r:embed="rId17"/>
                    <a:stretch>
                      <a:fillRect/>
                    </a:stretch>
                  </pic:blipFill>
                  <pic:spPr>
                    <a:xfrm>
                      <a:off x="0" y="0"/>
                      <a:ext cx="5943600" cy="4029710"/>
                    </a:xfrm>
                    <a:prstGeom prst="rect">
                      <a:avLst/>
                    </a:prstGeom>
                  </pic:spPr>
                </pic:pic>
              </a:graphicData>
            </a:graphic>
          </wp:inline>
        </w:drawing>
      </w:r>
    </w:p>
    <w:p w14:paraId="2FFAC563" w14:textId="7C92D53B" w:rsidR="00F16C8C" w:rsidRDefault="00F16C8C" w:rsidP="00755F0E">
      <w:pPr>
        <w:rPr>
          <w:sz w:val="18"/>
          <w:szCs w:val="18"/>
        </w:rPr>
      </w:pPr>
      <w:r w:rsidRPr="00F16C8C">
        <w:rPr>
          <w:b/>
          <w:bCs/>
          <w:sz w:val="18"/>
          <w:szCs w:val="18"/>
        </w:rPr>
        <w:t xml:space="preserve">Supplementary Figure </w:t>
      </w:r>
      <w:r w:rsidR="00CF4419">
        <w:rPr>
          <w:b/>
          <w:bCs/>
          <w:sz w:val="18"/>
          <w:szCs w:val="18"/>
        </w:rPr>
        <w:t>11</w:t>
      </w:r>
      <w:r w:rsidRPr="00F16C8C">
        <w:rPr>
          <w:b/>
          <w:bCs/>
          <w:sz w:val="18"/>
          <w:szCs w:val="18"/>
        </w:rPr>
        <w:t xml:space="preserve">. </w:t>
      </w:r>
      <w:r w:rsidRPr="00F16C8C">
        <w:rPr>
          <w:sz w:val="18"/>
          <w:szCs w:val="18"/>
        </w:rPr>
        <w:t>Projected frequency of hypothetical pyronaridine-resistant parasites under ASPY-containing multiple first-line therapy strategies. Each panel shows the monthly frequency of a hypothetical pyronaridine-resistant genotype from 2025 to 2032 under the 47% private-market scenario. ASPY-containing strategies were grouped by treatment composition, including two-drug MFT strategies with AL or ASAQ plus ASPY, three-drug MFT strategies with ASPY and either AL/DHA-PPQ or ASAQ/DHA-PPQ, and a four-drug MFT strategy including AL, ASAQ, DHA-PPQ, and ASPY. Within each panel, separate lines correspond to three assumed pyronaridine-resistance phenotypes, in which ASPY efficacy on double-resistant genotypes was reduced to 85%, 75%, or 65%. Shaded regions show the 90% simulation range. Across ASPY-containing strategies, hypothetical pyronaridine-resistant genotypes remained at low frequency over the six-year evaluation period, with the highest frequencies occurring when ASPY was used for 50% of treatments.</w:t>
      </w:r>
    </w:p>
    <w:p w14:paraId="42733950" w14:textId="77777777" w:rsidR="00F16C8C" w:rsidRDefault="006A2EDF" w:rsidP="00755F0E">
      <w:pPr>
        <w:rPr>
          <w:sz w:val="18"/>
          <w:szCs w:val="18"/>
        </w:rPr>
      </w:pPr>
      <w:r w:rsidRPr="006A2EDF">
        <w:rPr>
          <w:noProof/>
          <w:sz w:val="18"/>
          <w:szCs w:val="18"/>
        </w:rPr>
        <w:lastRenderedPageBreak/>
        <w:drawing>
          <wp:inline distT="0" distB="0" distL="0" distR="0" wp14:anchorId="4FB821DD" wp14:editId="01912342">
            <wp:extent cx="5943600" cy="4007485"/>
            <wp:effectExtent l="0" t="0" r="0" b="5715"/>
            <wp:docPr id="204208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84687" name=""/>
                    <pic:cNvPicPr/>
                  </pic:nvPicPr>
                  <pic:blipFill>
                    <a:blip r:embed="rId18"/>
                    <a:stretch>
                      <a:fillRect/>
                    </a:stretch>
                  </pic:blipFill>
                  <pic:spPr>
                    <a:xfrm>
                      <a:off x="0" y="0"/>
                      <a:ext cx="5943600" cy="4007485"/>
                    </a:xfrm>
                    <a:prstGeom prst="rect">
                      <a:avLst/>
                    </a:prstGeom>
                  </pic:spPr>
                </pic:pic>
              </a:graphicData>
            </a:graphic>
          </wp:inline>
        </w:drawing>
      </w:r>
    </w:p>
    <w:p w14:paraId="596A7D70" w14:textId="4F71EF04" w:rsidR="00F16C8C" w:rsidRDefault="00F16C8C" w:rsidP="00F16C8C">
      <w:pPr>
        <w:rPr>
          <w:sz w:val="18"/>
          <w:szCs w:val="18"/>
        </w:rPr>
      </w:pPr>
      <w:r w:rsidRPr="00F16C8C">
        <w:rPr>
          <w:b/>
          <w:bCs/>
          <w:sz w:val="18"/>
          <w:szCs w:val="18"/>
        </w:rPr>
        <w:t xml:space="preserve">Supplementary Figure </w:t>
      </w:r>
      <w:r w:rsidR="00266500">
        <w:rPr>
          <w:b/>
          <w:bCs/>
          <w:sz w:val="18"/>
          <w:szCs w:val="18"/>
        </w:rPr>
        <w:t>1</w:t>
      </w:r>
      <w:r w:rsidR="00CF4419">
        <w:rPr>
          <w:b/>
          <w:bCs/>
          <w:sz w:val="18"/>
          <w:szCs w:val="18"/>
        </w:rPr>
        <w:t>2</w:t>
      </w:r>
      <w:r w:rsidRPr="00F16C8C">
        <w:rPr>
          <w:b/>
          <w:bCs/>
          <w:sz w:val="18"/>
          <w:szCs w:val="18"/>
        </w:rPr>
        <w:t xml:space="preserve">. </w:t>
      </w:r>
      <w:r w:rsidRPr="00F16C8C">
        <w:rPr>
          <w:sz w:val="18"/>
          <w:szCs w:val="18"/>
        </w:rPr>
        <w:t xml:space="preserve">Projected frequency of hypothetical pyronaridine-resistant parasites under ASPY-containing multiple first-line therapy strategies. Each panel shows the monthly frequency of a hypothetical pyronaridine-resistant genotype from 2025 to 2032 under the </w:t>
      </w:r>
      <w:r>
        <w:rPr>
          <w:sz w:val="18"/>
          <w:szCs w:val="18"/>
        </w:rPr>
        <w:t>10</w:t>
      </w:r>
      <w:r w:rsidRPr="00F16C8C">
        <w:rPr>
          <w:sz w:val="18"/>
          <w:szCs w:val="18"/>
        </w:rPr>
        <w:t>% private-market scenario. ASPY-containing strategies were grouped by treatment composition, including two-drug MFT strategies with AL or ASAQ plus ASPY, three-drug MFT strategies with ASPY and either AL/DHA-PPQ or ASAQ/DHA-PPQ, and a four-drug MFT strategy including AL, ASAQ, DHA-PPQ, and ASPY. Within each panel, separate lines correspond to three assumed pyronaridine-resistance phenotypes, in which ASPY efficacy on double-resistant genotypes was reduced to 85%, 75%, or 65%. Shaded regions show the 90% simulation range. Across ASPY-containing strategies, hypothetical pyronaridine-resistant genotypes remained at low frequency over the six-year evaluation period, with the highest frequencies occurring when ASPY was used for 50% of treatments.</w:t>
      </w:r>
    </w:p>
    <w:p w14:paraId="655B278C" w14:textId="77777777" w:rsidR="00836261" w:rsidRDefault="00836261" w:rsidP="00F16C8C">
      <w:pPr>
        <w:rPr>
          <w:sz w:val="18"/>
          <w:szCs w:val="18"/>
        </w:rPr>
      </w:pPr>
    </w:p>
    <w:p w14:paraId="75091B58" w14:textId="77777777" w:rsidR="00836261" w:rsidRDefault="00836261" w:rsidP="00755F0E">
      <w:pPr>
        <w:rPr>
          <w:sz w:val="18"/>
          <w:szCs w:val="18"/>
        </w:rPr>
      </w:pPr>
      <w:r>
        <w:rPr>
          <w:noProof/>
          <w:sz w:val="18"/>
          <w:szCs w:val="18"/>
        </w:rPr>
        <w:lastRenderedPageBreak/>
        <w:drawing>
          <wp:inline distT="0" distB="0" distL="0" distR="0" wp14:anchorId="17B2F678" wp14:editId="47A6196F">
            <wp:extent cx="5943600" cy="3298190"/>
            <wp:effectExtent l="0" t="0" r="0" b="3810"/>
            <wp:docPr id="682822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22178" name="Picture 6828221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298190"/>
                    </a:xfrm>
                    <a:prstGeom prst="rect">
                      <a:avLst/>
                    </a:prstGeom>
                  </pic:spPr>
                </pic:pic>
              </a:graphicData>
            </a:graphic>
          </wp:inline>
        </w:drawing>
      </w:r>
    </w:p>
    <w:p w14:paraId="796AF7FA" w14:textId="3DD1D2F6" w:rsidR="00836261" w:rsidRDefault="00836261" w:rsidP="00755F0E">
      <w:pPr>
        <w:rPr>
          <w:sz w:val="18"/>
          <w:szCs w:val="18"/>
        </w:rPr>
      </w:pPr>
      <w:r w:rsidRPr="004261B7">
        <w:rPr>
          <w:b/>
          <w:bCs/>
          <w:sz w:val="18"/>
          <w:szCs w:val="18"/>
        </w:rPr>
        <w:t xml:space="preserve">Supplementary Figure </w:t>
      </w:r>
      <w:r w:rsidR="00266500">
        <w:rPr>
          <w:b/>
          <w:bCs/>
          <w:sz w:val="18"/>
          <w:szCs w:val="18"/>
        </w:rPr>
        <w:t>1</w:t>
      </w:r>
      <w:r w:rsidR="00CF4419">
        <w:rPr>
          <w:b/>
          <w:bCs/>
          <w:sz w:val="18"/>
          <w:szCs w:val="18"/>
        </w:rPr>
        <w:t>3</w:t>
      </w:r>
      <w:r w:rsidRPr="004261B7">
        <w:rPr>
          <w:b/>
          <w:bCs/>
          <w:sz w:val="18"/>
          <w:szCs w:val="18"/>
        </w:rPr>
        <w:t>.</w:t>
      </w:r>
      <w:r>
        <w:rPr>
          <w:b/>
          <w:bCs/>
          <w:sz w:val="18"/>
          <w:szCs w:val="18"/>
        </w:rPr>
        <w:t xml:space="preserve"> </w:t>
      </w:r>
      <w:r w:rsidRPr="00836261">
        <w:rPr>
          <w:sz w:val="18"/>
          <w:szCs w:val="18"/>
        </w:rPr>
        <w:t>Effect of delayed ASAQ deployment on treatment failures and pfkelch13 allele frequency under the 10% private-market scenario with normal pfcrt 76T and pfmdr1 86Y baseline frequencies. This figure is analogous to Figure 5 in the main text. Scenarios compare immediate deployment of artesunate–amodiaquine (ASAQ) with 1-, 2-, 3-, and 4-year delays before switching from artemether–lumefantrine to ASAQ. Panel A shows the 12-month rolling mean of treatment failures from 2020 to 2032, and Panel B shows the corresponding pfkelch13 allele frequency over time. Shaded regions show the 90% simulation range. Panel C summarizes the average monthly treatment failures over the six-year evaluation period, and Panel D summarizes pfkelch13 allele frequency in 2031. Delaying ASAQ deployment increased projected treatment failures and resulted in higher pfkelch13 allele frequencies, with longer delays producing larger increases.</w:t>
      </w:r>
    </w:p>
    <w:p w14:paraId="17B81926" w14:textId="77777777" w:rsidR="00836261" w:rsidRDefault="00836261" w:rsidP="00755F0E">
      <w:pPr>
        <w:rPr>
          <w:sz w:val="18"/>
          <w:szCs w:val="18"/>
        </w:rPr>
      </w:pPr>
    </w:p>
    <w:p w14:paraId="0CA98CDE" w14:textId="77777777" w:rsidR="00836261" w:rsidRDefault="00836261" w:rsidP="00755F0E">
      <w:pPr>
        <w:rPr>
          <w:sz w:val="18"/>
          <w:szCs w:val="18"/>
        </w:rPr>
      </w:pPr>
      <w:r>
        <w:rPr>
          <w:noProof/>
          <w:sz w:val="18"/>
          <w:szCs w:val="18"/>
        </w:rPr>
        <w:lastRenderedPageBreak/>
        <w:drawing>
          <wp:inline distT="0" distB="0" distL="0" distR="0" wp14:anchorId="4A2A87DF" wp14:editId="5CAB59F7">
            <wp:extent cx="5943600" cy="3298190"/>
            <wp:effectExtent l="0" t="0" r="0" b="3810"/>
            <wp:docPr id="427394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94875" name="Picture 42739487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298190"/>
                    </a:xfrm>
                    <a:prstGeom prst="rect">
                      <a:avLst/>
                    </a:prstGeom>
                  </pic:spPr>
                </pic:pic>
              </a:graphicData>
            </a:graphic>
          </wp:inline>
        </w:drawing>
      </w:r>
    </w:p>
    <w:p w14:paraId="5F8DCDC1" w14:textId="7B7552AD" w:rsidR="00836261" w:rsidRDefault="00836261" w:rsidP="00755F0E">
      <w:pPr>
        <w:rPr>
          <w:sz w:val="18"/>
          <w:szCs w:val="18"/>
        </w:rPr>
      </w:pPr>
      <w:r w:rsidRPr="00836261">
        <w:rPr>
          <w:b/>
          <w:bCs/>
          <w:sz w:val="18"/>
          <w:szCs w:val="18"/>
        </w:rPr>
        <w:t xml:space="preserve">Supplementary Figure </w:t>
      </w:r>
      <w:r w:rsidR="00266500">
        <w:rPr>
          <w:b/>
          <w:bCs/>
          <w:sz w:val="18"/>
          <w:szCs w:val="18"/>
        </w:rPr>
        <w:t>1</w:t>
      </w:r>
      <w:r w:rsidR="00CF4419">
        <w:rPr>
          <w:b/>
          <w:bCs/>
          <w:sz w:val="18"/>
          <w:szCs w:val="18"/>
        </w:rPr>
        <w:t>4</w:t>
      </w:r>
      <w:r w:rsidRPr="00836261">
        <w:rPr>
          <w:b/>
          <w:bCs/>
          <w:sz w:val="18"/>
          <w:szCs w:val="18"/>
        </w:rPr>
        <w:t>.</w:t>
      </w:r>
      <w:r w:rsidRPr="00836261">
        <w:rPr>
          <w:sz w:val="18"/>
          <w:szCs w:val="18"/>
        </w:rPr>
        <w:t xml:space="preserve"> Effect of delayed ASAQ deployment on treatment failures and pfkelch13 allele frequency under the 47% private-market scenario with lower pfcrt 76T and pfmdr1 86Y baseline frequencies. This figure is analogous to Figure 5 in the main text. Scenarios compare immediate deployment of artesunate–amodiaquine (ASAQ) with 1-, 2-, 3-, and 4-year delays before switching from artemether–lumefantrine to ASAQ. Panel A shows the 12-month rolling mean of treatment failures from 2020 to 2032, and Panel B shows the corresponding pfkelch13 allele frequency over time. Shaded regions show the 90% simulation range. Panel C summarizes the average monthly treatment failures over the six-year evaluation period, and Panel D summarizes pfkelch13 allele frequency in 2031. Delayed ASAQ deployment increased projected treatment failures and was associated with higher pfkelch13 allele frequencies, with longer delays producing progressively larger increases.</w:t>
      </w:r>
    </w:p>
    <w:p w14:paraId="5E1B4C4A" w14:textId="77777777" w:rsidR="00836261" w:rsidRDefault="00836261" w:rsidP="00755F0E">
      <w:pPr>
        <w:rPr>
          <w:sz w:val="18"/>
          <w:szCs w:val="18"/>
        </w:rPr>
      </w:pPr>
    </w:p>
    <w:p w14:paraId="584A914B" w14:textId="77777777" w:rsidR="00755F0E" w:rsidRDefault="00836261" w:rsidP="00755F0E">
      <w:pPr>
        <w:rPr>
          <w:sz w:val="18"/>
          <w:szCs w:val="18"/>
        </w:rPr>
      </w:pPr>
      <w:r>
        <w:rPr>
          <w:noProof/>
          <w:sz w:val="18"/>
          <w:szCs w:val="18"/>
        </w:rPr>
        <w:lastRenderedPageBreak/>
        <w:drawing>
          <wp:inline distT="0" distB="0" distL="0" distR="0" wp14:anchorId="34A73E69" wp14:editId="0F120848">
            <wp:extent cx="5943600" cy="3298190"/>
            <wp:effectExtent l="0" t="0" r="0" b="3810"/>
            <wp:docPr id="1677173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73803" name="Picture 167717380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298190"/>
                    </a:xfrm>
                    <a:prstGeom prst="rect">
                      <a:avLst/>
                    </a:prstGeom>
                  </pic:spPr>
                </pic:pic>
              </a:graphicData>
            </a:graphic>
          </wp:inline>
        </w:drawing>
      </w:r>
    </w:p>
    <w:p w14:paraId="3FB4BEFE" w14:textId="77873C3B" w:rsidR="00836261" w:rsidRDefault="00836261" w:rsidP="00755F0E">
      <w:pPr>
        <w:rPr>
          <w:sz w:val="18"/>
          <w:szCs w:val="18"/>
        </w:rPr>
      </w:pPr>
      <w:r w:rsidRPr="00836261">
        <w:rPr>
          <w:b/>
          <w:bCs/>
          <w:sz w:val="18"/>
          <w:szCs w:val="18"/>
        </w:rPr>
        <w:t xml:space="preserve">Supplementary Figure </w:t>
      </w:r>
      <w:r w:rsidR="00266500">
        <w:rPr>
          <w:b/>
          <w:bCs/>
          <w:sz w:val="18"/>
          <w:szCs w:val="18"/>
        </w:rPr>
        <w:t>1</w:t>
      </w:r>
      <w:r w:rsidR="00CF4419">
        <w:rPr>
          <w:b/>
          <w:bCs/>
          <w:sz w:val="18"/>
          <w:szCs w:val="18"/>
        </w:rPr>
        <w:t>5</w:t>
      </w:r>
      <w:r w:rsidRPr="00836261">
        <w:rPr>
          <w:b/>
          <w:bCs/>
          <w:sz w:val="18"/>
          <w:szCs w:val="18"/>
        </w:rPr>
        <w:t>.</w:t>
      </w:r>
      <w:r w:rsidRPr="00836261">
        <w:rPr>
          <w:sz w:val="18"/>
          <w:szCs w:val="18"/>
        </w:rPr>
        <w:t xml:space="preserve"> Effect of delayed ASAQ deployment on treatment failures and pfkelch13 allele frequency under the 10% private-market scenario with lower pfcrt 76T and pfmdr1 86Y baseline frequencies. This figure is analogous to Figure 5 in the main text. Scenarios compare immediate deployment of artesunate–amodiaquine (ASAQ) with 1-, 2-, 3-, and 4-year delays before switching from artemether–lumefantrine to ASAQ. Panel A shows the 12-month rolling mean of treatment failures from 2020 to 2032, and Panel B shows the corresponding pfkelch13 allele frequency over time. Shaded regions show the 90% simulation range. Panel C summarizes the average monthly treatment failures over the six-year evaluation period, and Panel D summarizes pfkelch13 allele frequency in 2031. Delayed ASAQ deployment increased projected treatment failures and was associated with higher pfkelch13 allele frequencies, with longer delays producing progressively larger increases.</w:t>
      </w:r>
    </w:p>
    <w:p w14:paraId="2D4D6054" w14:textId="77777777" w:rsidR="00F810C4" w:rsidRDefault="00F810C4" w:rsidP="00755F0E">
      <w:pPr>
        <w:rPr>
          <w:sz w:val="18"/>
          <w:szCs w:val="18"/>
        </w:rPr>
      </w:pPr>
    </w:p>
    <w:p w14:paraId="08B2E61A" w14:textId="77777777" w:rsidR="00F810C4" w:rsidRDefault="00F810C4" w:rsidP="00755F0E">
      <w:pPr>
        <w:rPr>
          <w:sz w:val="18"/>
          <w:szCs w:val="18"/>
        </w:rPr>
      </w:pPr>
    </w:p>
    <w:p w14:paraId="140FDA76" w14:textId="13063D20" w:rsidR="003821C7" w:rsidRDefault="0054044D" w:rsidP="00755F0E">
      <w:pPr>
        <w:rPr>
          <w:sz w:val="18"/>
          <w:szCs w:val="18"/>
        </w:rPr>
      </w:pPr>
      <w:r>
        <w:rPr>
          <w:noProof/>
          <w:sz w:val="18"/>
          <w:szCs w:val="18"/>
        </w:rPr>
        <w:lastRenderedPageBreak/>
        <w:drawing>
          <wp:inline distT="0" distB="0" distL="0" distR="0" wp14:anchorId="7163AB18" wp14:editId="54B4A8AF">
            <wp:extent cx="5943600" cy="5943600"/>
            <wp:effectExtent l="0" t="0" r="0" b="0"/>
            <wp:docPr id="199321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19234" name="Picture 199321923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5AC06A7B" w14:textId="7F270EF1" w:rsidR="00C96BB8" w:rsidRDefault="00C96BB8" w:rsidP="00755F0E">
      <w:pPr>
        <w:rPr>
          <w:sz w:val="18"/>
          <w:szCs w:val="18"/>
        </w:rPr>
      </w:pPr>
      <w:r w:rsidRPr="00836261">
        <w:rPr>
          <w:b/>
          <w:bCs/>
          <w:sz w:val="18"/>
          <w:szCs w:val="18"/>
        </w:rPr>
        <w:t xml:space="preserve">Supplementary Figure </w:t>
      </w:r>
      <w:r>
        <w:rPr>
          <w:b/>
          <w:bCs/>
          <w:sz w:val="18"/>
          <w:szCs w:val="18"/>
        </w:rPr>
        <w:t>16</w:t>
      </w:r>
      <w:r w:rsidRPr="00836261">
        <w:rPr>
          <w:b/>
          <w:bCs/>
          <w:sz w:val="18"/>
          <w:szCs w:val="18"/>
        </w:rPr>
        <w:t>.</w:t>
      </w:r>
      <w:r w:rsidRPr="00836261">
        <w:rPr>
          <w:sz w:val="18"/>
          <w:szCs w:val="18"/>
        </w:rPr>
        <w:t xml:space="preserve"> </w:t>
      </w:r>
      <w:r w:rsidRPr="00C96BB8">
        <w:rPr>
          <w:sz w:val="18"/>
          <w:szCs w:val="18"/>
        </w:rPr>
        <w:t>Projected treatment failure rate trajectories under representative antimalarial treatment strategies in Kagera, Tanzania, 2024–2032. Monthly treatment failure rate trajectories are shown for selected strategies grouped by intervention type: (A) timing of switching from artemether–lumefantrine (AL) to artesunate–amodiaquine (ASAQ); (B) ASAQ–dihydroartemisinin–piperaquine (DHA-PPQ) cycling strategies with 1-, 2-, 3-, and 4-year cycling intervals; (C) multiple first-line therapy (MFT) strategies with different proportions of AL, ASAQ, and DHA-PPQ use; and (D) triple ACT strategies involving deployment of artemether–lumefantrine–amodiaquine (ALAQ), either immediately or following interim use of AL and/or ASAQ. Blue lines show the median projected treatment failure rate for each intervention strategy, and blue shaded areas indicate the 90% interval. Grey lines and shaded areas show the corresponding status quo trajectory, defined as continued AL first-line use, and its 90% simulation interval. A vertical dashed line marks January 1, 2026, the start of intervention implementation. Trajectories are displayed as 12-month rolling means to reduce short-term seasonal variation and highlight longer-term differences among strategies.</w:t>
      </w:r>
    </w:p>
    <w:p w14:paraId="3F3C9F95" w14:textId="77777777" w:rsidR="00836261" w:rsidRDefault="00836261" w:rsidP="00755F0E">
      <w:pPr>
        <w:rPr>
          <w:sz w:val="18"/>
          <w:szCs w:val="18"/>
        </w:rPr>
      </w:pPr>
    </w:p>
    <w:p w14:paraId="13C2F23F" w14:textId="49662583" w:rsidR="00836261" w:rsidRDefault="00FE1069" w:rsidP="00755F0E">
      <w:pPr>
        <w:rPr>
          <w:sz w:val="18"/>
          <w:szCs w:val="18"/>
        </w:rPr>
      </w:pPr>
      <w:r>
        <w:rPr>
          <w:noProof/>
          <w:sz w:val="18"/>
          <w:szCs w:val="18"/>
        </w:rPr>
        <w:lastRenderedPageBreak/>
        <w:drawing>
          <wp:inline distT="0" distB="0" distL="0" distR="0" wp14:anchorId="6EB9F6D7" wp14:editId="793FE5EE">
            <wp:extent cx="5943600" cy="5974715"/>
            <wp:effectExtent l="0" t="0" r="0" b="0"/>
            <wp:docPr id="6140395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39512" name="Picture 6140395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5974715"/>
                    </a:xfrm>
                    <a:prstGeom prst="rect">
                      <a:avLst/>
                    </a:prstGeom>
                  </pic:spPr>
                </pic:pic>
              </a:graphicData>
            </a:graphic>
          </wp:inline>
        </w:drawing>
      </w:r>
    </w:p>
    <w:p w14:paraId="0559B86C" w14:textId="37FCD338" w:rsidR="00931330" w:rsidRPr="00755F0E" w:rsidRDefault="00931330" w:rsidP="00755F0E">
      <w:pPr>
        <w:rPr>
          <w:sz w:val="18"/>
          <w:szCs w:val="18"/>
        </w:rPr>
      </w:pPr>
      <w:r w:rsidRPr="00836261">
        <w:rPr>
          <w:b/>
          <w:bCs/>
          <w:sz w:val="18"/>
          <w:szCs w:val="18"/>
        </w:rPr>
        <w:t xml:space="preserve">Supplementary Figure </w:t>
      </w:r>
      <w:r>
        <w:rPr>
          <w:b/>
          <w:bCs/>
          <w:sz w:val="18"/>
          <w:szCs w:val="18"/>
        </w:rPr>
        <w:t>17</w:t>
      </w:r>
      <w:r w:rsidRPr="00836261">
        <w:rPr>
          <w:b/>
          <w:bCs/>
          <w:sz w:val="18"/>
          <w:szCs w:val="18"/>
        </w:rPr>
        <w:t>.</w:t>
      </w:r>
      <w:r w:rsidRPr="00836261">
        <w:rPr>
          <w:sz w:val="18"/>
          <w:szCs w:val="18"/>
        </w:rPr>
        <w:t xml:space="preserve"> </w:t>
      </w:r>
      <w:r w:rsidRPr="00931330">
        <w:rPr>
          <w:sz w:val="18"/>
          <w:szCs w:val="18"/>
        </w:rPr>
        <w:t>Representative genotype-frequency trajectories under alternative antimalarial treatment strategies in Kagera, Tanzania. Genotype dynamics are shown from 2024 to 2032 under (A) continued artemether–lumefantrine (AL) use as the status quo, (B) an immediate switch to artesunate–amodiaquine (ASAQ), and (C) an immediate switch to the triple ACT artemether–lumefantrine–amodiaquine (ALAQ). For each strategy, the left panel shows temporal trajectories for major genotypes whose median frequency exceeded 0.</w:t>
      </w:r>
      <w:r w:rsidR="00FE1069">
        <w:rPr>
          <w:sz w:val="18"/>
          <w:szCs w:val="18"/>
        </w:rPr>
        <w:t>05</w:t>
      </w:r>
      <w:r w:rsidRPr="00931330">
        <w:rPr>
          <w:sz w:val="18"/>
          <w:szCs w:val="18"/>
        </w:rPr>
        <w:t xml:space="preserve"> at any point during the plotted period; solid lines show the median genotype frequency across locations and shaded areas show the 90% interval across locations. The right panel shows the corresponding genotype-frequency heatmap for all genotypes exceeding a frequency of 0.0015 during the analysis period, using a common color scale from 0 to 1 across all three strategies. Dashed vertical lines indicate January 1, 2026, when the intervention strategies were initiated. Each row shows a representative single simulation realization for the corresponding treatment strategy.</w:t>
      </w:r>
    </w:p>
    <w:p w14:paraId="38D40991" w14:textId="77777777" w:rsidR="00537191" w:rsidRPr="005134C5" w:rsidRDefault="005134C5" w:rsidP="00537191">
      <w:pPr>
        <w:spacing w:after="160" w:line="278" w:lineRule="auto"/>
        <w:rPr>
          <w:rFonts w:eastAsia="Times New Roman" w:cs="Times New Roman"/>
          <w:kern w:val="0"/>
          <w:sz w:val="27"/>
          <w:szCs w:val="27"/>
          <w14:ligatures w14:val="none"/>
        </w:rPr>
      </w:pPr>
      <w:r>
        <w:rPr>
          <w:rFonts w:eastAsia="Times New Roman" w:cs="Times New Roman"/>
          <w:kern w:val="0"/>
          <w:sz w:val="22"/>
          <w:szCs w:val="22"/>
          <w14:ligatures w14:val="none"/>
        </w:rPr>
        <w:t xml:space="preserve"> </w:t>
      </w:r>
      <w:r w:rsidR="00537191" w:rsidRPr="005134C5">
        <w:rPr>
          <w:rFonts w:eastAsia="Times New Roman" w:cs="Times New Roman"/>
          <w:kern w:val="0"/>
          <w:sz w:val="27"/>
          <w:szCs w:val="27"/>
          <w14:ligatures w14:val="none"/>
        </w:rPr>
        <w:br w:type="page"/>
      </w:r>
    </w:p>
    <w:p w14:paraId="397FDFBC" w14:textId="77777777" w:rsidR="00537191" w:rsidRDefault="00537191" w:rsidP="00537191">
      <w:pPr>
        <w:spacing w:after="160" w:line="278" w:lineRule="auto"/>
        <w:rPr>
          <w:rFonts w:eastAsia="Times New Roman" w:cs="Times New Roman"/>
          <w:b/>
          <w:bCs/>
          <w:kern w:val="0"/>
          <w:sz w:val="27"/>
          <w:szCs w:val="27"/>
          <w14:ligatures w14:val="none"/>
        </w:rPr>
      </w:pPr>
      <w:r w:rsidRPr="00ED5B15">
        <w:rPr>
          <w:rFonts w:eastAsia="Times New Roman" w:cs="Times New Roman"/>
          <w:b/>
          <w:bCs/>
          <w:kern w:val="0"/>
          <w:sz w:val="27"/>
          <w:szCs w:val="27"/>
          <w14:ligatures w14:val="none"/>
        </w:rPr>
        <w:lastRenderedPageBreak/>
        <w:t>S</w:t>
      </w:r>
      <w:r>
        <w:rPr>
          <w:rFonts w:eastAsia="Times New Roman" w:cs="Times New Roman"/>
          <w:b/>
          <w:bCs/>
          <w:kern w:val="0"/>
          <w:sz w:val="27"/>
          <w:szCs w:val="27"/>
          <w14:ligatures w14:val="none"/>
        </w:rPr>
        <w:t>3</w:t>
      </w:r>
      <w:r w:rsidRPr="00ED5B15">
        <w:rPr>
          <w:rFonts w:eastAsia="Times New Roman" w:cs="Times New Roman"/>
          <w:b/>
          <w:bCs/>
          <w:kern w:val="0"/>
          <w:sz w:val="27"/>
          <w:szCs w:val="27"/>
          <w14:ligatures w14:val="none"/>
        </w:rPr>
        <w:t xml:space="preserve">. </w:t>
      </w:r>
      <w:r>
        <w:rPr>
          <w:rFonts w:eastAsia="Times New Roman" w:cs="Times New Roman"/>
          <w:b/>
          <w:bCs/>
          <w:kern w:val="0"/>
          <w:sz w:val="27"/>
          <w:szCs w:val="27"/>
          <w14:ligatures w14:val="none"/>
        </w:rPr>
        <w:t>Supplementary Tables</w:t>
      </w:r>
    </w:p>
    <w:tbl>
      <w:tblPr>
        <w:tblStyle w:val="GridTable6Colorful"/>
        <w:tblW w:w="9634" w:type="dxa"/>
        <w:tblLayout w:type="fixed"/>
        <w:tblLook w:val="04A0" w:firstRow="1" w:lastRow="0" w:firstColumn="1" w:lastColumn="0" w:noHBand="0" w:noVBand="1"/>
      </w:tblPr>
      <w:tblGrid>
        <w:gridCol w:w="4673"/>
        <w:gridCol w:w="992"/>
        <w:gridCol w:w="2268"/>
        <w:gridCol w:w="1701"/>
      </w:tblGrid>
      <w:tr w:rsidR="007A49FD" w:rsidRPr="00E251FB" w14:paraId="03D329E0" w14:textId="77777777" w:rsidTr="00E251F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24701CB4" w14:textId="77777777" w:rsidR="007A49FD" w:rsidRPr="00E251FB" w:rsidRDefault="007A49FD" w:rsidP="00E251FB">
            <w:pPr>
              <w:spacing w:line="240" w:lineRule="auto"/>
              <w:jc w:val="center"/>
              <w:rPr>
                <w:rFonts w:ascii="Calibri" w:eastAsia="Times New Roman" w:hAnsi="Calibri" w:cs="Calibri"/>
                <w:kern w:val="0"/>
                <w:sz w:val="18"/>
                <w:szCs w:val="18"/>
                <w14:ligatures w14:val="none"/>
              </w:rPr>
            </w:pPr>
            <w:r w:rsidRPr="00E251FB">
              <w:rPr>
                <w:rFonts w:ascii="Calibri" w:eastAsia="Times New Roman" w:hAnsi="Calibri" w:cs="Calibri"/>
                <w:kern w:val="0"/>
                <w:sz w:val="18"/>
                <w:szCs w:val="18"/>
                <w14:ligatures w14:val="none"/>
              </w:rPr>
              <w:t>Scenario ID</w:t>
            </w:r>
          </w:p>
        </w:tc>
        <w:tc>
          <w:tcPr>
            <w:tcW w:w="992" w:type="dxa"/>
            <w:noWrap/>
            <w:hideMark/>
          </w:tcPr>
          <w:p w14:paraId="7C09E856" w14:textId="77777777" w:rsidR="007A49FD" w:rsidRPr="00E251FB" w:rsidRDefault="007A49FD" w:rsidP="00E251FB">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18"/>
                <w:szCs w:val="18"/>
                <w14:ligatures w14:val="none"/>
              </w:rPr>
            </w:pPr>
            <w:r w:rsidRPr="00E251FB">
              <w:rPr>
                <w:rFonts w:ascii="Calibri" w:eastAsia="Times New Roman" w:hAnsi="Calibri" w:cs="Calibri"/>
                <w:kern w:val="0"/>
                <w:sz w:val="18"/>
                <w:szCs w:val="18"/>
                <w14:ligatures w14:val="none"/>
              </w:rPr>
              <w:t>Private-market share (%)</w:t>
            </w:r>
          </w:p>
        </w:tc>
        <w:tc>
          <w:tcPr>
            <w:tcW w:w="2268" w:type="dxa"/>
            <w:noWrap/>
            <w:hideMark/>
          </w:tcPr>
          <w:p w14:paraId="2323239E" w14:textId="77777777" w:rsidR="007A49FD" w:rsidRPr="00E251FB" w:rsidRDefault="007A49FD" w:rsidP="00E251FB">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18"/>
                <w:szCs w:val="18"/>
                <w14:ligatures w14:val="none"/>
              </w:rPr>
            </w:pPr>
            <w:r w:rsidRPr="00E251FB">
              <w:rPr>
                <w:rFonts w:ascii="Calibri" w:eastAsia="Times New Roman" w:hAnsi="Calibri" w:cs="Calibri"/>
                <w:kern w:val="0"/>
                <w:sz w:val="18"/>
                <w:szCs w:val="18"/>
                <w14:ligatures w14:val="none"/>
              </w:rPr>
              <w:t>Monthly treatment failures, median (90% interval)</w:t>
            </w:r>
          </w:p>
        </w:tc>
        <w:tc>
          <w:tcPr>
            <w:tcW w:w="1701" w:type="dxa"/>
            <w:noWrap/>
            <w:hideMark/>
          </w:tcPr>
          <w:p w14:paraId="161A2391" w14:textId="77777777" w:rsidR="007A49FD" w:rsidRPr="00E251FB" w:rsidRDefault="007A49FD" w:rsidP="00E251FB">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18"/>
                <w:szCs w:val="18"/>
                <w14:ligatures w14:val="none"/>
              </w:rPr>
            </w:pPr>
            <w:r w:rsidRPr="00E251FB">
              <w:rPr>
                <w:rFonts w:ascii="Calibri" w:eastAsia="Times New Roman" w:hAnsi="Calibri" w:cs="Calibri"/>
                <w:kern w:val="0"/>
                <w:sz w:val="18"/>
                <w:szCs w:val="18"/>
                <w14:ligatures w14:val="none"/>
              </w:rPr>
              <w:t>Reduction vs. status quo, median (90% interval), %</w:t>
            </w:r>
          </w:p>
        </w:tc>
      </w:tr>
      <w:tr w:rsidR="007A49FD" w:rsidRPr="00E251FB" w14:paraId="6FCA7537"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56FA32B1"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000-status-quo</w:t>
            </w:r>
          </w:p>
        </w:tc>
        <w:tc>
          <w:tcPr>
            <w:tcW w:w="992" w:type="dxa"/>
            <w:noWrap/>
            <w:hideMark/>
          </w:tcPr>
          <w:p w14:paraId="5777929B"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21402A23"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46,768 (44,972–49,124)</w:t>
            </w:r>
          </w:p>
        </w:tc>
        <w:tc>
          <w:tcPr>
            <w:tcW w:w="1701" w:type="dxa"/>
            <w:noWrap/>
            <w:hideMark/>
          </w:tcPr>
          <w:p w14:paraId="359D54C9"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0.0 (-5.0–3.8)</w:t>
            </w:r>
          </w:p>
        </w:tc>
      </w:tr>
      <w:tr w:rsidR="007A49FD" w:rsidRPr="00E251FB" w14:paraId="704C7438"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44FFA2C9"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000-status-quo</w:t>
            </w:r>
          </w:p>
        </w:tc>
        <w:tc>
          <w:tcPr>
            <w:tcW w:w="992" w:type="dxa"/>
            <w:noWrap/>
            <w:hideMark/>
          </w:tcPr>
          <w:p w14:paraId="1E14D0C3"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1F999738"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27,140 (22,572–35,862)</w:t>
            </w:r>
          </w:p>
        </w:tc>
        <w:tc>
          <w:tcPr>
            <w:tcW w:w="1701" w:type="dxa"/>
            <w:noWrap/>
            <w:hideMark/>
          </w:tcPr>
          <w:p w14:paraId="624AF2AB"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0.0 (-32.1–16.8)</w:t>
            </w:r>
          </w:p>
        </w:tc>
      </w:tr>
      <w:tr w:rsidR="007A49FD" w:rsidRPr="00E251FB" w14:paraId="36AC2EB9"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401369FA"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001-basic-ASAQ</w:t>
            </w:r>
          </w:p>
        </w:tc>
        <w:tc>
          <w:tcPr>
            <w:tcW w:w="992" w:type="dxa"/>
            <w:noWrap/>
            <w:hideMark/>
          </w:tcPr>
          <w:p w14:paraId="43D5695F"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6D383B46"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27,620 (26,893–28,289)</w:t>
            </w:r>
          </w:p>
        </w:tc>
        <w:tc>
          <w:tcPr>
            <w:tcW w:w="1701" w:type="dxa"/>
            <w:noWrap/>
            <w:hideMark/>
          </w:tcPr>
          <w:p w14:paraId="2146DD80" w14:textId="77777777" w:rsidR="007A49FD" w:rsidRPr="00222503"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222503">
              <w:rPr>
                <w:rFonts w:ascii="Calibri" w:eastAsia="Times New Roman" w:hAnsi="Calibri" w:cs="Calibri"/>
                <w:color w:val="000000"/>
                <w:kern w:val="0"/>
                <w:sz w:val="18"/>
                <w:szCs w:val="18"/>
                <w14:ligatures w14:val="none"/>
              </w:rPr>
              <w:t>40.9 (39.5–42.5)</w:t>
            </w:r>
          </w:p>
        </w:tc>
      </w:tr>
      <w:tr w:rsidR="007A49FD" w:rsidRPr="00E251FB" w14:paraId="3E3467C6"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6894408"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001-basic-ASAQ</w:t>
            </w:r>
          </w:p>
        </w:tc>
        <w:tc>
          <w:tcPr>
            <w:tcW w:w="992" w:type="dxa"/>
            <w:noWrap/>
            <w:hideMark/>
          </w:tcPr>
          <w:p w14:paraId="5B038BB2"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32130C9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7,366 (6,754–8,228)</w:t>
            </w:r>
          </w:p>
        </w:tc>
        <w:tc>
          <w:tcPr>
            <w:tcW w:w="1701" w:type="dxa"/>
            <w:noWrap/>
            <w:hideMark/>
          </w:tcPr>
          <w:p w14:paraId="1FD80B40" w14:textId="77777777" w:rsidR="007A49FD" w:rsidRPr="00222503"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222503">
              <w:rPr>
                <w:rFonts w:ascii="Calibri" w:eastAsia="Times New Roman" w:hAnsi="Calibri" w:cs="Calibri"/>
                <w:color w:val="000000"/>
                <w:kern w:val="0"/>
                <w:sz w:val="18"/>
                <w:szCs w:val="18"/>
                <w14:ligatures w14:val="none"/>
              </w:rPr>
              <w:t>72.9 (69.7–75.1)</w:t>
            </w:r>
          </w:p>
        </w:tc>
      </w:tr>
      <w:tr w:rsidR="007A49FD" w:rsidRPr="00E251FB" w14:paraId="18839BAF"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B7DE261"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002-basic-DHAPPQ</w:t>
            </w:r>
          </w:p>
        </w:tc>
        <w:tc>
          <w:tcPr>
            <w:tcW w:w="992" w:type="dxa"/>
            <w:noWrap/>
            <w:hideMark/>
          </w:tcPr>
          <w:p w14:paraId="2762A012"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0DA39D8C"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39,910 (38,318–41,775)</w:t>
            </w:r>
          </w:p>
        </w:tc>
        <w:tc>
          <w:tcPr>
            <w:tcW w:w="1701" w:type="dxa"/>
            <w:noWrap/>
            <w:hideMark/>
          </w:tcPr>
          <w:p w14:paraId="58DFB084"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14.7 (10.7–18.1)</w:t>
            </w:r>
          </w:p>
        </w:tc>
      </w:tr>
      <w:tr w:rsidR="007A49FD" w:rsidRPr="00E251FB" w14:paraId="25EF81AA"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BF8595A"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002-basic-DHAPPQ</w:t>
            </w:r>
          </w:p>
        </w:tc>
        <w:tc>
          <w:tcPr>
            <w:tcW w:w="992" w:type="dxa"/>
            <w:noWrap/>
            <w:hideMark/>
          </w:tcPr>
          <w:p w14:paraId="51887DD4"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7C500754"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28,693 (24,052–32,888)</w:t>
            </w:r>
          </w:p>
        </w:tc>
        <w:tc>
          <w:tcPr>
            <w:tcW w:w="1701" w:type="dxa"/>
            <w:noWrap/>
            <w:hideMark/>
          </w:tcPr>
          <w:p w14:paraId="25360F23"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-5.7 (-21.2–11.4)</w:t>
            </w:r>
          </w:p>
        </w:tc>
      </w:tr>
      <w:tr w:rsidR="007A49FD" w:rsidRPr="00E251FB" w14:paraId="68AC6535"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04E2953"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003-Cycling-1y-AL-ASAQ</w:t>
            </w:r>
          </w:p>
        </w:tc>
        <w:tc>
          <w:tcPr>
            <w:tcW w:w="992" w:type="dxa"/>
            <w:noWrap/>
            <w:hideMark/>
          </w:tcPr>
          <w:p w14:paraId="01945BCD"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33928AAF"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36,487 (35,477–37,955)</w:t>
            </w:r>
          </w:p>
        </w:tc>
        <w:tc>
          <w:tcPr>
            <w:tcW w:w="1701" w:type="dxa"/>
            <w:noWrap/>
            <w:hideMark/>
          </w:tcPr>
          <w:p w14:paraId="17DF32CB"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22.0 (18.8–24.1)</w:t>
            </w:r>
          </w:p>
        </w:tc>
      </w:tr>
      <w:tr w:rsidR="007A49FD" w:rsidRPr="00E251FB" w14:paraId="6B38606E"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8B38114"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003-Cycling-1y-AL-ASAQ</w:t>
            </w:r>
          </w:p>
        </w:tc>
        <w:tc>
          <w:tcPr>
            <w:tcW w:w="992" w:type="dxa"/>
            <w:noWrap/>
            <w:hideMark/>
          </w:tcPr>
          <w:p w14:paraId="596B9DD4"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1092A563"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14,306 (12,361–16,868)</w:t>
            </w:r>
          </w:p>
        </w:tc>
        <w:tc>
          <w:tcPr>
            <w:tcW w:w="1701" w:type="dxa"/>
            <w:noWrap/>
            <w:hideMark/>
          </w:tcPr>
          <w:p w14:paraId="64DF727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47.3 (37.8–54.5)</w:t>
            </w:r>
          </w:p>
        </w:tc>
      </w:tr>
      <w:tr w:rsidR="007A49FD" w:rsidRPr="00E251FB" w14:paraId="3CD1F701"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CD8442F"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004-Cycling-1y-AL-DHAPPQ</w:t>
            </w:r>
          </w:p>
        </w:tc>
        <w:tc>
          <w:tcPr>
            <w:tcW w:w="992" w:type="dxa"/>
            <w:noWrap/>
            <w:hideMark/>
          </w:tcPr>
          <w:p w14:paraId="3FBCB264"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45146EC9"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37,752 (36,266–39,606)</w:t>
            </w:r>
          </w:p>
        </w:tc>
        <w:tc>
          <w:tcPr>
            <w:tcW w:w="1701" w:type="dxa"/>
            <w:noWrap/>
            <w:hideMark/>
          </w:tcPr>
          <w:p w14:paraId="3BEAE14C"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19.3 (15.3–22.5)</w:t>
            </w:r>
          </w:p>
        </w:tc>
      </w:tr>
      <w:tr w:rsidR="007A49FD" w:rsidRPr="00E251FB" w14:paraId="4A773FC6"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5DFDA566"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004-Cycling-1y-AL-DHAPPQ</w:t>
            </w:r>
          </w:p>
        </w:tc>
        <w:tc>
          <w:tcPr>
            <w:tcW w:w="992" w:type="dxa"/>
            <w:noWrap/>
            <w:hideMark/>
          </w:tcPr>
          <w:p w14:paraId="66BF1132"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4B038E85"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16,739 (13,674–20,152)</w:t>
            </w:r>
          </w:p>
        </w:tc>
        <w:tc>
          <w:tcPr>
            <w:tcW w:w="1701" w:type="dxa"/>
            <w:noWrap/>
            <w:hideMark/>
          </w:tcPr>
          <w:p w14:paraId="627F589C"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38.3 (25.8–49.6)</w:t>
            </w:r>
          </w:p>
        </w:tc>
      </w:tr>
      <w:tr w:rsidR="007A49FD" w:rsidRPr="00E251FB" w14:paraId="7D8C2EB8"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5BD6665F"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005-Cycling-1y-ASAQ-AL</w:t>
            </w:r>
          </w:p>
        </w:tc>
        <w:tc>
          <w:tcPr>
            <w:tcW w:w="992" w:type="dxa"/>
            <w:noWrap/>
            <w:hideMark/>
          </w:tcPr>
          <w:p w14:paraId="4B222360"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77B4040C"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36,006 (34,761–37,686)</w:t>
            </w:r>
          </w:p>
        </w:tc>
        <w:tc>
          <w:tcPr>
            <w:tcW w:w="1701" w:type="dxa"/>
            <w:noWrap/>
            <w:hideMark/>
          </w:tcPr>
          <w:p w14:paraId="500C28F5"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23.0 (19.4–25.7)</w:t>
            </w:r>
          </w:p>
        </w:tc>
      </w:tr>
      <w:tr w:rsidR="007A49FD" w:rsidRPr="00E251FB" w14:paraId="49C1E5A7"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5E94262"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005-Cycling-1y-ASAQ-AL</w:t>
            </w:r>
          </w:p>
        </w:tc>
        <w:tc>
          <w:tcPr>
            <w:tcW w:w="992" w:type="dxa"/>
            <w:noWrap/>
            <w:hideMark/>
          </w:tcPr>
          <w:p w14:paraId="60A44E8A"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1A65F308"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13,559 (11,908–16,635)</w:t>
            </w:r>
          </w:p>
        </w:tc>
        <w:tc>
          <w:tcPr>
            <w:tcW w:w="1701" w:type="dxa"/>
            <w:noWrap/>
            <w:hideMark/>
          </w:tcPr>
          <w:p w14:paraId="542926CA"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50.0 (38.7–56.1)</w:t>
            </w:r>
          </w:p>
        </w:tc>
      </w:tr>
      <w:tr w:rsidR="007A49FD" w:rsidRPr="00E251FB" w14:paraId="3580093A"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2E942271"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006-Cycling-1y-ASAQ-DHAPPQ</w:t>
            </w:r>
          </w:p>
        </w:tc>
        <w:tc>
          <w:tcPr>
            <w:tcW w:w="992" w:type="dxa"/>
            <w:noWrap/>
            <w:hideMark/>
          </w:tcPr>
          <w:p w14:paraId="03FA1CAD"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2D2AC13C"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28,445 (27,656–29,479)</w:t>
            </w:r>
          </w:p>
        </w:tc>
        <w:tc>
          <w:tcPr>
            <w:tcW w:w="1701" w:type="dxa"/>
            <w:noWrap/>
            <w:hideMark/>
          </w:tcPr>
          <w:p w14:paraId="5C43F0F7"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39.2 (37.0–40.9)</w:t>
            </w:r>
          </w:p>
        </w:tc>
      </w:tr>
      <w:tr w:rsidR="007A49FD" w:rsidRPr="00E251FB" w14:paraId="52F09498"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BEEB337"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006-Cycling-1y-ASAQ-DHAPPQ</w:t>
            </w:r>
          </w:p>
        </w:tc>
        <w:tc>
          <w:tcPr>
            <w:tcW w:w="992" w:type="dxa"/>
            <w:noWrap/>
            <w:hideMark/>
          </w:tcPr>
          <w:p w14:paraId="5F5E00D9"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345363B1"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8,158 (7,210–9,147)</w:t>
            </w:r>
          </w:p>
        </w:tc>
        <w:tc>
          <w:tcPr>
            <w:tcW w:w="1701" w:type="dxa"/>
            <w:noWrap/>
            <w:hideMark/>
          </w:tcPr>
          <w:p w14:paraId="7E24557D"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69.9 (66.3–73.4)</w:t>
            </w:r>
          </w:p>
        </w:tc>
      </w:tr>
      <w:tr w:rsidR="007A49FD" w:rsidRPr="00E251FB" w14:paraId="661B274F"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281728B"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007-Cycling-1y-DHAPPQ-AL</w:t>
            </w:r>
          </w:p>
        </w:tc>
        <w:tc>
          <w:tcPr>
            <w:tcW w:w="992" w:type="dxa"/>
            <w:noWrap/>
            <w:hideMark/>
          </w:tcPr>
          <w:p w14:paraId="6B142AD7"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7FBC6CF8"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37,613 (36,112–39,144)</w:t>
            </w:r>
          </w:p>
        </w:tc>
        <w:tc>
          <w:tcPr>
            <w:tcW w:w="1701" w:type="dxa"/>
            <w:noWrap/>
            <w:hideMark/>
          </w:tcPr>
          <w:p w14:paraId="7AAD5176"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19.6 (16.3–22.8)</w:t>
            </w:r>
          </w:p>
        </w:tc>
      </w:tr>
      <w:tr w:rsidR="007A49FD" w:rsidRPr="00E251FB" w14:paraId="65DD14DF"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ABFDCE3"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007-Cycling-1y-DHAPPQ-AL</w:t>
            </w:r>
          </w:p>
        </w:tc>
        <w:tc>
          <w:tcPr>
            <w:tcW w:w="992" w:type="dxa"/>
            <w:noWrap/>
            <w:hideMark/>
          </w:tcPr>
          <w:p w14:paraId="6D89CC79"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5A764042"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16,398 (14,303–19,715)</w:t>
            </w:r>
          </w:p>
        </w:tc>
        <w:tc>
          <w:tcPr>
            <w:tcW w:w="1701" w:type="dxa"/>
            <w:noWrap/>
            <w:hideMark/>
          </w:tcPr>
          <w:p w14:paraId="058BF906"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39.6 (27.4–47.3)</w:t>
            </w:r>
          </w:p>
        </w:tc>
      </w:tr>
      <w:tr w:rsidR="007A49FD" w:rsidRPr="00E251FB" w14:paraId="192077A5"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D76A9F7"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008-Cycling-1y-DHAPPQ-ASAQ</w:t>
            </w:r>
          </w:p>
        </w:tc>
        <w:tc>
          <w:tcPr>
            <w:tcW w:w="992" w:type="dxa"/>
            <w:noWrap/>
            <w:hideMark/>
          </w:tcPr>
          <w:p w14:paraId="7C636BB4"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0D27C5B7"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28,688 (27,867–29,606)</w:t>
            </w:r>
          </w:p>
        </w:tc>
        <w:tc>
          <w:tcPr>
            <w:tcW w:w="1701" w:type="dxa"/>
            <w:noWrap/>
            <w:hideMark/>
          </w:tcPr>
          <w:p w14:paraId="49D8B18E"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38.7 (36.7–40.4)</w:t>
            </w:r>
          </w:p>
        </w:tc>
      </w:tr>
      <w:tr w:rsidR="007A49FD" w:rsidRPr="00E251FB" w14:paraId="75B27868"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D9AAD5E"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008-Cycling-1y-DHAPPQ-ASAQ</w:t>
            </w:r>
          </w:p>
        </w:tc>
        <w:tc>
          <w:tcPr>
            <w:tcW w:w="992" w:type="dxa"/>
            <w:noWrap/>
            <w:hideMark/>
          </w:tcPr>
          <w:p w14:paraId="01F99A03"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5F9614AB"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8,632 (7,736–9,647)</w:t>
            </w:r>
          </w:p>
        </w:tc>
        <w:tc>
          <w:tcPr>
            <w:tcW w:w="1701" w:type="dxa"/>
            <w:noWrap/>
            <w:hideMark/>
          </w:tcPr>
          <w:p w14:paraId="1BA3CB14"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68.2 (64.5–71.5)</w:t>
            </w:r>
          </w:p>
        </w:tc>
      </w:tr>
      <w:tr w:rsidR="007A49FD" w:rsidRPr="00E251FB" w14:paraId="1B145CC8"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5AC22C2F"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009-Cycling-1y-AL-ASAQ-DHAPPQ</w:t>
            </w:r>
          </w:p>
        </w:tc>
        <w:tc>
          <w:tcPr>
            <w:tcW w:w="992" w:type="dxa"/>
            <w:noWrap/>
            <w:hideMark/>
          </w:tcPr>
          <w:p w14:paraId="6625F165"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58AAA63A"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33,149 (32,249–34,381)</w:t>
            </w:r>
          </w:p>
        </w:tc>
        <w:tc>
          <w:tcPr>
            <w:tcW w:w="1701" w:type="dxa"/>
            <w:noWrap/>
            <w:hideMark/>
          </w:tcPr>
          <w:p w14:paraId="25B7E68C"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29.1 (26.5–31.0)</w:t>
            </w:r>
          </w:p>
        </w:tc>
      </w:tr>
      <w:tr w:rsidR="007A49FD" w:rsidRPr="00E251FB" w14:paraId="18D2231D"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73828EA"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009-Cycling-1y-AL-ASAQ-DHAPPQ</w:t>
            </w:r>
          </w:p>
        </w:tc>
        <w:tc>
          <w:tcPr>
            <w:tcW w:w="992" w:type="dxa"/>
            <w:noWrap/>
            <w:hideMark/>
          </w:tcPr>
          <w:p w14:paraId="4086850E"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03AB4115"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11,779 (10,304–13,352)</w:t>
            </w:r>
          </w:p>
        </w:tc>
        <w:tc>
          <w:tcPr>
            <w:tcW w:w="1701" w:type="dxa"/>
            <w:noWrap/>
            <w:hideMark/>
          </w:tcPr>
          <w:p w14:paraId="5BEC71A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56.6 (50.8–62.0)</w:t>
            </w:r>
          </w:p>
        </w:tc>
      </w:tr>
      <w:tr w:rsidR="007A49FD" w:rsidRPr="00E251FB" w14:paraId="481F37C5"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5099CF86"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010-Cycling-1y-AL-DHAPPQ-ASAQ</w:t>
            </w:r>
          </w:p>
        </w:tc>
        <w:tc>
          <w:tcPr>
            <w:tcW w:w="992" w:type="dxa"/>
            <w:noWrap/>
            <w:hideMark/>
          </w:tcPr>
          <w:p w14:paraId="37BB262A"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21B3F4F9"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33,308 (32,280–34,478)</w:t>
            </w:r>
          </w:p>
        </w:tc>
        <w:tc>
          <w:tcPr>
            <w:tcW w:w="1701" w:type="dxa"/>
            <w:noWrap/>
            <w:hideMark/>
          </w:tcPr>
          <w:p w14:paraId="0FC9B486"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28.8 (26.3–31.0)</w:t>
            </w:r>
          </w:p>
        </w:tc>
      </w:tr>
      <w:tr w:rsidR="007A49FD" w:rsidRPr="00E251FB" w14:paraId="07C29869"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0AB5828"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010-Cycling-1y-AL-DHAPPQ-ASAQ</w:t>
            </w:r>
          </w:p>
        </w:tc>
        <w:tc>
          <w:tcPr>
            <w:tcW w:w="992" w:type="dxa"/>
            <w:noWrap/>
            <w:hideMark/>
          </w:tcPr>
          <w:p w14:paraId="7861DD54"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5D74E7C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11,923 (10,439–13,814)</w:t>
            </w:r>
          </w:p>
        </w:tc>
        <w:tc>
          <w:tcPr>
            <w:tcW w:w="1701" w:type="dxa"/>
            <w:noWrap/>
            <w:hideMark/>
          </w:tcPr>
          <w:p w14:paraId="68EDD99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56.1 (49.1–61.5)</w:t>
            </w:r>
          </w:p>
        </w:tc>
      </w:tr>
      <w:tr w:rsidR="007A49FD" w:rsidRPr="00E251FB" w14:paraId="0F42035A"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4F5D99FC"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011-Cycling-1y-ASAQ-AL-DHAPPQ</w:t>
            </w:r>
          </w:p>
        </w:tc>
        <w:tc>
          <w:tcPr>
            <w:tcW w:w="992" w:type="dxa"/>
            <w:noWrap/>
            <w:hideMark/>
          </w:tcPr>
          <w:p w14:paraId="54E927F8"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0FAF439E"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33,743 (32,678–35,350)</w:t>
            </w:r>
          </w:p>
        </w:tc>
        <w:tc>
          <w:tcPr>
            <w:tcW w:w="1701" w:type="dxa"/>
            <w:noWrap/>
            <w:hideMark/>
          </w:tcPr>
          <w:p w14:paraId="51C1B4CD"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27.9 (24.4–30.1)</w:t>
            </w:r>
          </w:p>
        </w:tc>
      </w:tr>
      <w:tr w:rsidR="007A49FD" w:rsidRPr="00E251FB" w14:paraId="4C77A0AE"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287563B"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011-Cycling-1y-ASAQ-AL-DHAPPQ</w:t>
            </w:r>
          </w:p>
        </w:tc>
        <w:tc>
          <w:tcPr>
            <w:tcW w:w="992" w:type="dxa"/>
            <w:noWrap/>
            <w:hideMark/>
          </w:tcPr>
          <w:p w14:paraId="4D03FAA9"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2CB40E85"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11,992 (10,560–13,863)</w:t>
            </w:r>
          </w:p>
        </w:tc>
        <w:tc>
          <w:tcPr>
            <w:tcW w:w="1701" w:type="dxa"/>
            <w:noWrap/>
            <w:hideMark/>
          </w:tcPr>
          <w:p w14:paraId="129DD817"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55.8 (48.9–61.1)</w:t>
            </w:r>
          </w:p>
        </w:tc>
      </w:tr>
      <w:tr w:rsidR="007A49FD" w:rsidRPr="00E251FB" w14:paraId="1AF56DA5"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245C0123"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012-Cycling-1y-ASAQ-DHAPPQ-AL</w:t>
            </w:r>
          </w:p>
        </w:tc>
        <w:tc>
          <w:tcPr>
            <w:tcW w:w="992" w:type="dxa"/>
            <w:noWrap/>
            <w:hideMark/>
          </w:tcPr>
          <w:p w14:paraId="78A471F4"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57B4A077"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33,083 (32,133–34,321)</w:t>
            </w:r>
          </w:p>
        </w:tc>
        <w:tc>
          <w:tcPr>
            <w:tcW w:w="1701" w:type="dxa"/>
            <w:noWrap/>
            <w:hideMark/>
          </w:tcPr>
          <w:p w14:paraId="477CD49D"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29.3 (26.6–31.3)</w:t>
            </w:r>
          </w:p>
        </w:tc>
      </w:tr>
      <w:tr w:rsidR="007A49FD" w:rsidRPr="00E251FB" w14:paraId="0F9B6C70"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547C07EA"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012-Cycling-1y-ASAQ-DHAPPQ-AL</w:t>
            </w:r>
          </w:p>
        </w:tc>
        <w:tc>
          <w:tcPr>
            <w:tcW w:w="992" w:type="dxa"/>
            <w:noWrap/>
            <w:hideMark/>
          </w:tcPr>
          <w:p w14:paraId="354885F5"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3A47DBB3"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11,189 (9,986–12,868)</w:t>
            </w:r>
          </w:p>
        </w:tc>
        <w:tc>
          <w:tcPr>
            <w:tcW w:w="1701" w:type="dxa"/>
            <w:noWrap/>
            <w:hideMark/>
          </w:tcPr>
          <w:p w14:paraId="71C437BE"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58.8 (52.6–63.2)</w:t>
            </w:r>
          </w:p>
        </w:tc>
      </w:tr>
      <w:tr w:rsidR="007A49FD" w:rsidRPr="00E251FB" w14:paraId="5022CFCC"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589BB444"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013-Cycling-1y-DHAPPQ-AL-ASAQ</w:t>
            </w:r>
          </w:p>
        </w:tc>
        <w:tc>
          <w:tcPr>
            <w:tcW w:w="992" w:type="dxa"/>
            <w:noWrap/>
            <w:hideMark/>
          </w:tcPr>
          <w:p w14:paraId="685F7BA7"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3217A589"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33,937 (32,850–35,624)</w:t>
            </w:r>
          </w:p>
        </w:tc>
        <w:tc>
          <w:tcPr>
            <w:tcW w:w="1701" w:type="dxa"/>
            <w:noWrap/>
            <w:hideMark/>
          </w:tcPr>
          <w:p w14:paraId="503659E0"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27.4 (23.8–29.8)</w:t>
            </w:r>
          </w:p>
        </w:tc>
      </w:tr>
      <w:tr w:rsidR="007A49FD" w:rsidRPr="00E251FB" w14:paraId="0228A877"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28AB4C0"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013-Cycling-1y-DHAPPQ-AL-ASAQ</w:t>
            </w:r>
          </w:p>
        </w:tc>
        <w:tc>
          <w:tcPr>
            <w:tcW w:w="992" w:type="dxa"/>
            <w:noWrap/>
            <w:hideMark/>
          </w:tcPr>
          <w:p w14:paraId="7E451C50"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3C5C1EDA"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11,768 (10,395–14,122)</w:t>
            </w:r>
          </w:p>
        </w:tc>
        <w:tc>
          <w:tcPr>
            <w:tcW w:w="1701" w:type="dxa"/>
            <w:noWrap/>
            <w:hideMark/>
          </w:tcPr>
          <w:p w14:paraId="3518595A"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56.6 (48.0–61.7)</w:t>
            </w:r>
          </w:p>
        </w:tc>
      </w:tr>
      <w:tr w:rsidR="007A49FD" w:rsidRPr="00E251FB" w14:paraId="52E33A37"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CD39DBE"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014-Cycling-1y-DHAPPQ-ASAQ-AL</w:t>
            </w:r>
          </w:p>
        </w:tc>
        <w:tc>
          <w:tcPr>
            <w:tcW w:w="992" w:type="dxa"/>
            <w:noWrap/>
            <w:hideMark/>
          </w:tcPr>
          <w:p w14:paraId="0D576AEE"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6DADDBE3"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33,373 (32,189–34,547)</w:t>
            </w:r>
          </w:p>
        </w:tc>
        <w:tc>
          <w:tcPr>
            <w:tcW w:w="1701" w:type="dxa"/>
            <w:noWrap/>
            <w:hideMark/>
          </w:tcPr>
          <w:p w14:paraId="41D992D8"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28.6 (26.1–31.2)</w:t>
            </w:r>
          </w:p>
        </w:tc>
      </w:tr>
      <w:tr w:rsidR="007A49FD" w:rsidRPr="00E251FB" w14:paraId="02468C24"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23D3056"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014-Cycling-1y-DHAPPQ-ASAQ-AL</w:t>
            </w:r>
          </w:p>
        </w:tc>
        <w:tc>
          <w:tcPr>
            <w:tcW w:w="992" w:type="dxa"/>
            <w:noWrap/>
            <w:hideMark/>
          </w:tcPr>
          <w:p w14:paraId="307443B6"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77566951"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11,264 (9,933–12,612)</w:t>
            </w:r>
          </w:p>
        </w:tc>
        <w:tc>
          <w:tcPr>
            <w:tcW w:w="1701" w:type="dxa"/>
            <w:noWrap/>
            <w:hideMark/>
          </w:tcPr>
          <w:p w14:paraId="49133E36"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58.5 (53.5–63.4)</w:t>
            </w:r>
          </w:p>
        </w:tc>
      </w:tr>
      <w:tr w:rsidR="007A49FD" w:rsidRPr="00E251FB" w14:paraId="6B8C76E0"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77AF17B"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015-Cycling-2y-AL-ASAQ</w:t>
            </w:r>
          </w:p>
        </w:tc>
        <w:tc>
          <w:tcPr>
            <w:tcW w:w="992" w:type="dxa"/>
            <w:noWrap/>
            <w:hideMark/>
          </w:tcPr>
          <w:p w14:paraId="728EE28F"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6E9687D9"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39,796 (38,637–41,189)</w:t>
            </w:r>
          </w:p>
        </w:tc>
        <w:tc>
          <w:tcPr>
            <w:tcW w:w="1701" w:type="dxa"/>
            <w:noWrap/>
            <w:hideMark/>
          </w:tcPr>
          <w:p w14:paraId="1FE6926F"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14.9 (11.9–17.4)</w:t>
            </w:r>
          </w:p>
        </w:tc>
      </w:tr>
      <w:tr w:rsidR="007A49FD" w:rsidRPr="00E251FB" w14:paraId="4A09B0F9"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6B96551"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015-Cycling-2y-AL-ASAQ</w:t>
            </w:r>
          </w:p>
        </w:tc>
        <w:tc>
          <w:tcPr>
            <w:tcW w:w="992" w:type="dxa"/>
            <w:noWrap/>
            <w:hideMark/>
          </w:tcPr>
          <w:p w14:paraId="11708429"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248AC10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17,786 (15,160–21,851)</w:t>
            </w:r>
          </w:p>
        </w:tc>
        <w:tc>
          <w:tcPr>
            <w:tcW w:w="1701" w:type="dxa"/>
            <w:noWrap/>
            <w:hideMark/>
          </w:tcPr>
          <w:p w14:paraId="7A1D1DB5"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34.5 (19.5–44.1)</w:t>
            </w:r>
          </w:p>
        </w:tc>
      </w:tr>
      <w:tr w:rsidR="007A49FD" w:rsidRPr="00E251FB" w14:paraId="4EA542CF"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0D722D6"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016-Cycling-2y-AL-DHAPPQ</w:t>
            </w:r>
          </w:p>
        </w:tc>
        <w:tc>
          <w:tcPr>
            <w:tcW w:w="992" w:type="dxa"/>
            <w:noWrap/>
            <w:hideMark/>
          </w:tcPr>
          <w:p w14:paraId="0860588B"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73317614"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40,526 (38,669–41,986)</w:t>
            </w:r>
          </w:p>
        </w:tc>
        <w:tc>
          <w:tcPr>
            <w:tcW w:w="1701" w:type="dxa"/>
            <w:noWrap/>
            <w:hideMark/>
          </w:tcPr>
          <w:p w14:paraId="4B8BD633"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13.3 (10.2–17.3)</w:t>
            </w:r>
          </w:p>
        </w:tc>
      </w:tr>
      <w:tr w:rsidR="007A49FD" w:rsidRPr="00E251FB" w14:paraId="3CE859FC"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500E8B3"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016-Cycling-2y-AL-DHAPPQ</w:t>
            </w:r>
          </w:p>
        </w:tc>
        <w:tc>
          <w:tcPr>
            <w:tcW w:w="992" w:type="dxa"/>
            <w:noWrap/>
            <w:hideMark/>
          </w:tcPr>
          <w:p w14:paraId="7EEBEB46"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3BADCAE0"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18,705 (16,073–23,366)</w:t>
            </w:r>
          </w:p>
        </w:tc>
        <w:tc>
          <w:tcPr>
            <w:tcW w:w="1701" w:type="dxa"/>
            <w:noWrap/>
            <w:hideMark/>
          </w:tcPr>
          <w:p w14:paraId="154CC32D"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31.1 (13.9–40.8)</w:t>
            </w:r>
          </w:p>
        </w:tc>
      </w:tr>
      <w:tr w:rsidR="007A49FD" w:rsidRPr="00E251FB" w14:paraId="2BC62DEC"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8D0DAB6"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017-Cycling-2y-ASAQ-AL</w:t>
            </w:r>
          </w:p>
        </w:tc>
        <w:tc>
          <w:tcPr>
            <w:tcW w:w="992" w:type="dxa"/>
            <w:noWrap/>
            <w:hideMark/>
          </w:tcPr>
          <w:p w14:paraId="3F633A81"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5CC83E27"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33,313 (32,327–34,619)</w:t>
            </w:r>
          </w:p>
        </w:tc>
        <w:tc>
          <w:tcPr>
            <w:tcW w:w="1701" w:type="dxa"/>
            <w:noWrap/>
            <w:hideMark/>
          </w:tcPr>
          <w:p w14:paraId="09054F77"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28.8 (26.0–30.9)</w:t>
            </w:r>
          </w:p>
        </w:tc>
      </w:tr>
      <w:tr w:rsidR="007A49FD" w:rsidRPr="00E251FB" w14:paraId="66867AAD"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CDC7838"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017-Cycling-2y-ASAQ-AL</w:t>
            </w:r>
          </w:p>
        </w:tc>
        <w:tc>
          <w:tcPr>
            <w:tcW w:w="992" w:type="dxa"/>
            <w:noWrap/>
            <w:hideMark/>
          </w:tcPr>
          <w:p w14:paraId="60FCF31A"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630728E6"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11,816 (10,899–13,610)</w:t>
            </w:r>
          </w:p>
        </w:tc>
        <w:tc>
          <w:tcPr>
            <w:tcW w:w="1701" w:type="dxa"/>
            <w:noWrap/>
            <w:hideMark/>
          </w:tcPr>
          <w:p w14:paraId="24B8F472"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56.5 (49.9–59.8)</w:t>
            </w:r>
          </w:p>
        </w:tc>
      </w:tr>
      <w:tr w:rsidR="007A49FD" w:rsidRPr="00E251FB" w14:paraId="703E4ADE"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501D20B4"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018-Cycling-2y-ASAQ-DHAPPQ</w:t>
            </w:r>
          </w:p>
        </w:tc>
        <w:tc>
          <w:tcPr>
            <w:tcW w:w="992" w:type="dxa"/>
            <w:noWrap/>
            <w:hideMark/>
          </w:tcPr>
          <w:p w14:paraId="087C7BC6"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2AA5215D"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27,748 (26,866–28,422)</w:t>
            </w:r>
          </w:p>
        </w:tc>
        <w:tc>
          <w:tcPr>
            <w:tcW w:w="1701" w:type="dxa"/>
            <w:noWrap/>
            <w:hideMark/>
          </w:tcPr>
          <w:p w14:paraId="1BFDBCBC" w14:textId="77777777" w:rsidR="007A49FD" w:rsidRPr="00222503"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222503">
              <w:rPr>
                <w:rFonts w:ascii="Calibri" w:eastAsia="Times New Roman" w:hAnsi="Calibri" w:cs="Calibri"/>
                <w:color w:val="000000"/>
                <w:kern w:val="0"/>
                <w:sz w:val="18"/>
                <w:szCs w:val="18"/>
                <w14:ligatures w14:val="none"/>
              </w:rPr>
              <w:t>40.7 (39.2–42.6)</w:t>
            </w:r>
          </w:p>
        </w:tc>
      </w:tr>
      <w:tr w:rsidR="007A49FD" w:rsidRPr="00E251FB" w14:paraId="56B6A9AF"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20CB06EF"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lastRenderedPageBreak/>
              <w:t>018-Cycling-2y-ASAQ-DHAPPQ</w:t>
            </w:r>
          </w:p>
        </w:tc>
        <w:tc>
          <w:tcPr>
            <w:tcW w:w="992" w:type="dxa"/>
            <w:noWrap/>
            <w:hideMark/>
          </w:tcPr>
          <w:p w14:paraId="27D5C209"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4E81AA7C"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7,234 (6,538–7,898)</w:t>
            </w:r>
          </w:p>
        </w:tc>
        <w:tc>
          <w:tcPr>
            <w:tcW w:w="1701" w:type="dxa"/>
            <w:noWrap/>
            <w:hideMark/>
          </w:tcPr>
          <w:p w14:paraId="5F76415E" w14:textId="77777777" w:rsidR="007A49FD" w:rsidRPr="00222503"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222503">
              <w:rPr>
                <w:rFonts w:ascii="Calibri" w:eastAsia="Times New Roman" w:hAnsi="Calibri" w:cs="Calibri"/>
                <w:color w:val="000000"/>
                <w:kern w:val="0"/>
                <w:sz w:val="18"/>
                <w:szCs w:val="18"/>
                <w14:ligatures w14:val="none"/>
              </w:rPr>
              <w:t>73.3 (70.9–75.9)</w:t>
            </w:r>
          </w:p>
        </w:tc>
      </w:tr>
      <w:tr w:rsidR="007A49FD" w:rsidRPr="00E251FB" w14:paraId="15DA6066"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898860D"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019-Cycling-2y-DHAPPQ-AL</w:t>
            </w:r>
          </w:p>
        </w:tc>
        <w:tc>
          <w:tcPr>
            <w:tcW w:w="992" w:type="dxa"/>
            <w:noWrap/>
            <w:hideMark/>
          </w:tcPr>
          <w:p w14:paraId="4E5B74A4"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2596A234"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36,728 (35,355–38,241)</w:t>
            </w:r>
          </w:p>
        </w:tc>
        <w:tc>
          <w:tcPr>
            <w:tcW w:w="1701" w:type="dxa"/>
            <w:noWrap/>
            <w:hideMark/>
          </w:tcPr>
          <w:p w14:paraId="1ED96A94"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21.5 (18.2–24.4)</w:t>
            </w:r>
          </w:p>
        </w:tc>
      </w:tr>
      <w:tr w:rsidR="007A49FD" w:rsidRPr="00E251FB" w14:paraId="5AA7D8D9"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5B0D81B"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019-Cycling-2y-DHAPPQ-AL</w:t>
            </w:r>
          </w:p>
        </w:tc>
        <w:tc>
          <w:tcPr>
            <w:tcW w:w="992" w:type="dxa"/>
            <w:noWrap/>
            <w:hideMark/>
          </w:tcPr>
          <w:p w14:paraId="1C5F86B6"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17BFB42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18,345 (14,788–21,392)</w:t>
            </w:r>
          </w:p>
        </w:tc>
        <w:tc>
          <w:tcPr>
            <w:tcW w:w="1701" w:type="dxa"/>
            <w:noWrap/>
            <w:hideMark/>
          </w:tcPr>
          <w:p w14:paraId="30702E2A"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32.4 (21.2–45.5)</w:t>
            </w:r>
          </w:p>
        </w:tc>
      </w:tr>
      <w:tr w:rsidR="007A49FD" w:rsidRPr="00E251FB" w14:paraId="45F399B8"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436E3A1"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020-Cycling-2y-DHAPPQ-ASAQ</w:t>
            </w:r>
          </w:p>
        </w:tc>
        <w:tc>
          <w:tcPr>
            <w:tcW w:w="992" w:type="dxa"/>
            <w:noWrap/>
            <w:hideMark/>
          </w:tcPr>
          <w:p w14:paraId="78C79FC8"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1D49A515"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30,379 (29,554–31,839)</w:t>
            </w:r>
          </w:p>
        </w:tc>
        <w:tc>
          <w:tcPr>
            <w:tcW w:w="1701" w:type="dxa"/>
            <w:noWrap/>
            <w:hideMark/>
          </w:tcPr>
          <w:p w14:paraId="2D4EDFFC"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35.0 (31.9–36.8)</w:t>
            </w:r>
          </w:p>
        </w:tc>
      </w:tr>
      <w:tr w:rsidR="007A49FD" w:rsidRPr="00E251FB" w14:paraId="046CE1FD"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2D5CF326"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020-Cycling-2y-DHAPPQ-ASAQ</w:t>
            </w:r>
          </w:p>
        </w:tc>
        <w:tc>
          <w:tcPr>
            <w:tcW w:w="992" w:type="dxa"/>
            <w:noWrap/>
            <w:hideMark/>
          </w:tcPr>
          <w:p w14:paraId="61E8C155"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394DD37D"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11,564 (9,797–12,994)</w:t>
            </w:r>
          </w:p>
        </w:tc>
        <w:tc>
          <w:tcPr>
            <w:tcW w:w="1701" w:type="dxa"/>
            <w:noWrap/>
            <w:hideMark/>
          </w:tcPr>
          <w:p w14:paraId="79B734AE"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57.4 (52.1–63.9)</w:t>
            </w:r>
          </w:p>
        </w:tc>
      </w:tr>
      <w:tr w:rsidR="007A49FD" w:rsidRPr="00E251FB" w14:paraId="345CF244"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026543D"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021-Cycling-2y-AL-ASAQ-DHAPPQ</w:t>
            </w:r>
          </w:p>
        </w:tc>
        <w:tc>
          <w:tcPr>
            <w:tcW w:w="992" w:type="dxa"/>
            <w:noWrap/>
            <w:hideMark/>
          </w:tcPr>
          <w:p w14:paraId="397AA43E"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30FBB092"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32,642 (31,555–33,998)</w:t>
            </w:r>
          </w:p>
        </w:tc>
        <w:tc>
          <w:tcPr>
            <w:tcW w:w="1701" w:type="dxa"/>
            <w:noWrap/>
            <w:hideMark/>
          </w:tcPr>
          <w:p w14:paraId="42B1A6E8"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30.2 (27.3–32.5)</w:t>
            </w:r>
          </w:p>
        </w:tc>
      </w:tr>
      <w:tr w:rsidR="007A49FD" w:rsidRPr="00E251FB" w14:paraId="0FE329ED"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CC6E854"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021-Cycling-2y-AL-ASAQ-DHAPPQ</w:t>
            </w:r>
          </w:p>
        </w:tc>
        <w:tc>
          <w:tcPr>
            <w:tcW w:w="992" w:type="dxa"/>
            <w:noWrap/>
            <w:hideMark/>
          </w:tcPr>
          <w:p w14:paraId="25CBBF40"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1474C0E9"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11,841 (10,362–14,305)</w:t>
            </w:r>
          </w:p>
        </w:tc>
        <w:tc>
          <w:tcPr>
            <w:tcW w:w="1701" w:type="dxa"/>
            <w:noWrap/>
            <w:hideMark/>
          </w:tcPr>
          <w:p w14:paraId="5E196922"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56.4 (47.3–61.8)</w:t>
            </w:r>
          </w:p>
        </w:tc>
      </w:tr>
      <w:tr w:rsidR="007A49FD" w:rsidRPr="00E251FB" w14:paraId="3FCBBFFA"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18CC2425"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022-Cycling-2y-AL-DHAPPQ-ASAQ</w:t>
            </w:r>
          </w:p>
        </w:tc>
        <w:tc>
          <w:tcPr>
            <w:tcW w:w="992" w:type="dxa"/>
            <w:noWrap/>
            <w:hideMark/>
          </w:tcPr>
          <w:p w14:paraId="6A935803"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31A44A40"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33,019 (32,140–34,238)</w:t>
            </w:r>
          </w:p>
        </w:tc>
        <w:tc>
          <w:tcPr>
            <w:tcW w:w="1701" w:type="dxa"/>
            <w:noWrap/>
            <w:hideMark/>
          </w:tcPr>
          <w:p w14:paraId="06C146F4"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29.4 (26.8–31.3)</w:t>
            </w:r>
          </w:p>
        </w:tc>
      </w:tr>
      <w:tr w:rsidR="007A49FD" w:rsidRPr="00E251FB" w14:paraId="040B1C58"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690C2A6"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022-Cycling-2y-AL-DHAPPQ-ASAQ</w:t>
            </w:r>
          </w:p>
        </w:tc>
        <w:tc>
          <w:tcPr>
            <w:tcW w:w="992" w:type="dxa"/>
            <w:noWrap/>
            <w:hideMark/>
          </w:tcPr>
          <w:p w14:paraId="7A881233"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512F1BB2"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11,750 (10,283–14,989)</w:t>
            </w:r>
          </w:p>
        </w:tc>
        <w:tc>
          <w:tcPr>
            <w:tcW w:w="1701" w:type="dxa"/>
            <w:noWrap/>
            <w:hideMark/>
          </w:tcPr>
          <w:p w14:paraId="17466E88"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56.7 (44.8–62.1)</w:t>
            </w:r>
          </w:p>
        </w:tc>
      </w:tr>
      <w:tr w:rsidR="007A49FD" w:rsidRPr="00E251FB" w14:paraId="6441E56E"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94B13A4"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023-Cycling-2y-ASAQ-AL-DHAPPQ</w:t>
            </w:r>
          </w:p>
        </w:tc>
        <w:tc>
          <w:tcPr>
            <w:tcW w:w="992" w:type="dxa"/>
            <w:noWrap/>
            <w:hideMark/>
          </w:tcPr>
          <w:p w14:paraId="103D52D9"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1BA00143"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32,997 (32,180–34,393)</w:t>
            </w:r>
          </w:p>
        </w:tc>
        <w:tc>
          <w:tcPr>
            <w:tcW w:w="1701" w:type="dxa"/>
            <w:noWrap/>
            <w:hideMark/>
          </w:tcPr>
          <w:p w14:paraId="645D242E"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29.4 (26.5–31.2)</w:t>
            </w:r>
          </w:p>
        </w:tc>
      </w:tr>
      <w:tr w:rsidR="007A49FD" w:rsidRPr="00E251FB" w14:paraId="326B49F7"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4F0B9C4E"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023-Cycling-2y-ASAQ-AL-DHAPPQ</w:t>
            </w:r>
          </w:p>
        </w:tc>
        <w:tc>
          <w:tcPr>
            <w:tcW w:w="992" w:type="dxa"/>
            <w:noWrap/>
            <w:hideMark/>
          </w:tcPr>
          <w:p w14:paraId="0B783308"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1D4A7374"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11,853 (10,649–13,657)</w:t>
            </w:r>
          </w:p>
        </w:tc>
        <w:tc>
          <w:tcPr>
            <w:tcW w:w="1701" w:type="dxa"/>
            <w:noWrap/>
            <w:hideMark/>
          </w:tcPr>
          <w:p w14:paraId="4C3BEFCC"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56.3 (49.7–60.8)</w:t>
            </w:r>
          </w:p>
        </w:tc>
      </w:tr>
      <w:tr w:rsidR="007A49FD" w:rsidRPr="00E251FB" w14:paraId="5BC21B37"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59014EF0"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024-Cycling-2y-ASAQ-DHAPPQ-AL</w:t>
            </w:r>
          </w:p>
        </w:tc>
        <w:tc>
          <w:tcPr>
            <w:tcW w:w="992" w:type="dxa"/>
            <w:noWrap/>
            <w:hideMark/>
          </w:tcPr>
          <w:p w14:paraId="223E2E99"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468E5C27"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34,208 (32,958–35,777)</w:t>
            </w:r>
          </w:p>
        </w:tc>
        <w:tc>
          <w:tcPr>
            <w:tcW w:w="1701" w:type="dxa"/>
            <w:noWrap/>
            <w:hideMark/>
          </w:tcPr>
          <w:p w14:paraId="5E722353"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26.9 (23.5–29.5)</w:t>
            </w:r>
          </w:p>
        </w:tc>
      </w:tr>
      <w:tr w:rsidR="007A49FD" w:rsidRPr="00E251FB" w14:paraId="6F24E17B"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409AF4AE"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024-Cycling-2y-ASAQ-DHAPPQ-AL</w:t>
            </w:r>
          </w:p>
        </w:tc>
        <w:tc>
          <w:tcPr>
            <w:tcW w:w="992" w:type="dxa"/>
            <w:noWrap/>
            <w:hideMark/>
          </w:tcPr>
          <w:p w14:paraId="13A9A00A"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6D6D5787"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11,934 (10,714–13,922)</w:t>
            </w:r>
          </w:p>
        </w:tc>
        <w:tc>
          <w:tcPr>
            <w:tcW w:w="1701" w:type="dxa"/>
            <w:noWrap/>
            <w:hideMark/>
          </w:tcPr>
          <w:p w14:paraId="16C3C337"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56.0 (48.7–60.5)</w:t>
            </w:r>
          </w:p>
        </w:tc>
      </w:tr>
      <w:tr w:rsidR="007A49FD" w:rsidRPr="00E251FB" w14:paraId="1DDA09D6"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4EB16FA"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025-Cycling-2y-DHAPPQ-AL-ASAQ</w:t>
            </w:r>
          </w:p>
        </w:tc>
        <w:tc>
          <w:tcPr>
            <w:tcW w:w="992" w:type="dxa"/>
            <w:noWrap/>
            <w:hideMark/>
          </w:tcPr>
          <w:p w14:paraId="79DD7937"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408031AF"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33,748 (32,518–34,651)</w:t>
            </w:r>
          </w:p>
        </w:tc>
        <w:tc>
          <w:tcPr>
            <w:tcW w:w="1701" w:type="dxa"/>
            <w:noWrap/>
            <w:hideMark/>
          </w:tcPr>
          <w:p w14:paraId="10FEE669"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27.8 (25.9–30.5)</w:t>
            </w:r>
          </w:p>
        </w:tc>
      </w:tr>
      <w:tr w:rsidR="007A49FD" w:rsidRPr="00E251FB" w14:paraId="709B1EF3"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50B8195A"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025-Cycling-2y-DHAPPQ-AL-ASAQ</w:t>
            </w:r>
          </w:p>
        </w:tc>
        <w:tc>
          <w:tcPr>
            <w:tcW w:w="992" w:type="dxa"/>
            <w:noWrap/>
            <w:hideMark/>
          </w:tcPr>
          <w:p w14:paraId="41B17DE4"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513778C1"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12,218 (10,736–14,156)</w:t>
            </w:r>
          </w:p>
        </w:tc>
        <w:tc>
          <w:tcPr>
            <w:tcW w:w="1701" w:type="dxa"/>
            <w:noWrap/>
            <w:hideMark/>
          </w:tcPr>
          <w:p w14:paraId="582077A7"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55.0 (47.8–60.4)</w:t>
            </w:r>
          </w:p>
        </w:tc>
      </w:tr>
      <w:tr w:rsidR="007A49FD" w:rsidRPr="00E251FB" w14:paraId="3BE3EA0E"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9FF55F4"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026-Cycling-2y-DHAPPQ-ASAQ-AL</w:t>
            </w:r>
          </w:p>
        </w:tc>
        <w:tc>
          <w:tcPr>
            <w:tcW w:w="992" w:type="dxa"/>
            <w:noWrap/>
            <w:hideMark/>
          </w:tcPr>
          <w:p w14:paraId="239126EB"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128EBE78"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34,017 (32,988–35,373)</w:t>
            </w:r>
          </w:p>
        </w:tc>
        <w:tc>
          <w:tcPr>
            <w:tcW w:w="1701" w:type="dxa"/>
            <w:noWrap/>
            <w:hideMark/>
          </w:tcPr>
          <w:p w14:paraId="092DC4CF"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27.3 (24.4–29.5)</w:t>
            </w:r>
          </w:p>
        </w:tc>
      </w:tr>
      <w:tr w:rsidR="007A49FD" w:rsidRPr="00E251FB" w14:paraId="15C7F771"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196DF0C"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026-Cycling-2y-DHAPPQ-ASAQ-AL</w:t>
            </w:r>
          </w:p>
        </w:tc>
        <w:tc>
          <w:tcPr>
            <w:tcW w:w="992" w:type="dxa"/>
            <w:noWrap/>
            <w:hideMark/>
          </w:tcPr>
          <w:p w14:paraId="03F79F89"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4DB00BE2"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12,021 (10,458–14,636)</w:t>
            </w:r>
          </w:p>
        </w:tc>
        <w:tc>
          <w:tcPr>
            <w:tcW w:w="1701" w:type="dxa"/>
            <w:noWrap/>
            <w:hideMark/>
          </w:tcPr>
          <w:p w14:paraId="75C4B105"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55.7 (46.1–61.5)</w:t>
            </w:r>
          </w:p>
        </w:tc>
      </w:tr>
      <w:tr w:rsidR="007A49FD" w:rsidRPr="00E251FB" w14:paraId="231B40F3"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36C6FCF"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028-Cycling-3y-AL-DHAPPQ</w:t>
            </w:r>
          </w:p>
        </w:tc>
        <w:tc>
          <w:tcPr>
            <w:tcW w:w="992" w:type="dxa"/>
            <w:noWrap/>
            <w:hideMark/>
          </w:tcPr>
          <w:p w14:paraId="620A3628"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3CCC9431"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36,945 (35,574–38,527)</w:t>
            </w:r>
          </w:p>
        </w:tc>
        <w:tc>
          <w:tcPr>
            <w:tcW w:w="1701" w:type="dxa"/>
            <w:noWrap/>
            <w:hideMark/>
          </w:tcPr>
          <w:p w14:paraId="0F5DF8B7"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21.0 (17.6–23.9)</w:t>
            </w:r>
          </w:p>
        </w:tc>
      </w:tr>
      <w:tr w:rsidR="007A49FD" w:rsidRPr="00E251FB" w14:paraId="081C0BAC"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7977428"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028-Cycling-3y-AL-DHAPPQ</w:t>
            </w:r>
          </w:p>
        </w:tc>
        <w:tc>
          <w:tcPr>
            <w:tcW w:w="992" w:type="dxa"/>
            <w:noWrap/>
            <w:hideMark/>
          </w:tcPr>
          <w:p w14:paraId="3850001E"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702153B7"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16,761 (14,772–20,100)</w:t>
            </w:r>
          </w:p>
        </w:tc>
        <w:tc>
          <w:tcPr>
            <w:tcW w:w="1701" w:type="dxa"/>
            <w:noWrap/>
            <w:hideMark/>
          </w:tcPr>
          <w:p w14:paraId="499584F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38.2 (25.9–45.6)</w:t>
            </w:r>
          </w:p>
        </w:tc>
      </w:tr>
      <w:tr w:rsidR="007A49FD" w:rsidRPr="00E251FB" w14:paraId="1DDAC8F8"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6F88194"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029-Cycling-3y-ASAQ-AL</w:t>
            </w:r>
          </w:p>
        </w:tc>
        <w:tc>
          <w:tcPr>
            <w:tcW w:w="992" w:type="dxa"/>
            <w:noWrap/>
            <w:hideMark/>
          </w:tcPr>
          <w:p w14:paraId="768FD82A"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0764B574"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36,758 (35,530–38,267)</w:t>
            </w:r>
          </w:p>
        </w:tc>
        <w:tc>
          <w:tcPr>
            <w:tcW w:w="1701" w:type="dxa"/>
            <w:noWrap/>
            <w:hideMark/>
          </w:tcPr>
          <w:p w14:paraId="3D91CFB9"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21.4 (18.2–24.0)</w:t>
            </w:r>
          </w:p>
        </w:tc>
      </w:tr>
      <w:tr w:rsidR="007A49FD" w:rsidRPr="00E251FB" w14:paraId="5A124F77"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D5CA6FC"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029-Cycling-3y-ASAQ-AL</w:t>
            </w:r>
          </w:p>
        </w:tc>
        <w:tc>
          <w:tcPr>
            <w:tcW w:w="992" w:type="dxa"/>
            <w:noWrap/>
            <w:hideMark/>
          </w:tcPr>
          <w:p w14:paraId="167F0A09"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22B0B1B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14,364 (12,667–18,502)</w:t>
            </w:r>
          </w:p>
        </w:tc>
        <w:tc>
          <w:tcPr>
            <w:tcW w:w="1701" w:type="dxa"/>
            <w:noWrap/>
            <w:hideMark/>
          </w:tcPr>
          <w:p w14:paraId="6F9FA1E2"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47.1 (31.8–53.3)</w:t>
            </w:r>
          </w:p>
        </w:tc>
      </w:tr>
      <w:tr w:rsidR="007A49FD" w:rsidRPr="00E251FB" w14:paraId="6FEF505D"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B7F6585"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030-Cycling-3y-ASAQ-DHAPPQ</w:t>
            </w:r>
          </w:p>
        </w:tc>
        <w:tc>
          <w:tcPr>
            <w:tcW w:w="992" w:type="dxa"/>
            <w:noWrap/>
            <w:hideMark/>
          </w:tcPr>
          <w:p w14:paraId="31665843"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3E54DDFA"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28,326 (27,540–29,442)</w:t>
            </w:r>
          </w:p>
        </w:tc>
        <w:tc>
          <w:tcPr>
            <w:tcW w:w="1701" w:type="dxa"/>
            <w:noWrap/>
            <w:hideMark/>
          </w:tcPr>
          <w:p w14:paraId="58D49F47"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39.4 (37.0–41.1)</w:t>
            </w:r>
          </w:p>
        </w:tc>
      </w:tr>
      <w:tr w:rsidR="007A49FD" w:rsidRPr="00E251FB" w14:paraId="2550A557"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4AEAFD5D"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030-Cycling-3y-ASAQ-DHAPPQ</w:t>
            </w:r>
          </w:p>
        </w:tc>
        <w:tc>
          <w:tcPr>
            <w:tcW w:w="992" w:type="dxa"/>
            <w:noWrap/>
            <w:hideMark/>
          </w:tcPr>
          <w:p w14:paraId="3406C31C"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0277D959"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8,278 (7,548–9,281)</w:t>
            </w:r>
          </w:p>
        </w:tc>
        <w:tc>
          <w:tcPr>
            <w:tcW w:w="1701" w:type="dxa"/>
            <w:noWrap/>
            <w:hideMark/>
          </w:tcPr>
          <w:p w14:paraId="4AD9EC72"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69.5 (65.8–72.2)</w:t>
            </w:r>
          </w:p>
        </w:tc>
      </w:tr>
      <w:tr w:rsidR="007A49FD" w:rsidRPr="00E251FB" w14:paraId="294FDCDB"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21E3AF82"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031-Cycling-3y-DHAPPQ-AL</w:t>
            </w:r>
          </w:p>
        </w:tc>
        <w:tc>
          <w:tcPr>
            <w:tcW w:w="992" w:type="dxa"/>
            <w:noWrap/>
            <w:hideMark/>
          </w:tcPr>
          <w:p w14:paraId="36D0CAD8"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0302984A"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38,669 (37,499–40,801)</w:t>
            </w:r>
          </w:p>
        </w:tc>
        <w:tc>
          <w:tcPr>
            <w:tcW w:w="1701" w:type="dxa"/>
            <w:noWrap/>
            <w:hideMark/>
          </w:tcPr>
          <w:p w14:paraId="1598FDDE"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17.3 (12.8–19.8)</w:t>
            </w:r>
          </w:p>
        </w:tc>
      </w:tr>
      <w:tr w:rsidR="007A49FD" w:rsidRPr="00E251FB" w14:paraId="2BC6AA23"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7D898AB"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031-Cycling-3y-DHAPPQ-AL</w:t>
            </w:r>
          </w:p>
        </w:tc>
        <w:tc>
          <w:tcPr>
            <w:tcW w:w="992" w:type="dxa"/>
            <w:noWrap/>
            <w:hideMark/>
          </w:tcPr>
          <w:p w14:paraId="4B65D387"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1C70C22E"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17,277 (15,211–21,002)</w:t>
            </w:r>
          </w:p>
        </w:tc>
        <w:tc>
          <w:tcPr>
            <w:tcW w:w="1701" w:type="dxa"/>
            <w:noWrap/>
            <w:hideMark/>
          </w:tcPr>
          <w:p w14:paraId="2CD613E9"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36.3 (22.6–44.0)</w:t>
            </w:r>
          </w:p>
        </w:tc>
      </w:tr>
      <w:tr w:rsidR="007A49FD" w:rsidRPr="00E251FB" w14:paraId="2B985C40"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F79C80B"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032-Cycling-3y-DHAPPQ-ASAQ</w:t>
            </w:r>
          </w:p>
        </w:tc>
        <w:tc>
          <w:tcPr>
            <w:tcW w:w="992" w:type="dxa"/>
            <w:noWrap/>
            <w:hideMark/>
          </w:tcPr>
          <w:p w14:paraId="7DFC4B33"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52DDD172"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28,636 (27,910–29,452)</w:t>
            </w:r>
          </w:p>
        </w:tc>
        <w:tc>
          <w:tcPr>
            <w:tcW w:w="1701" w:type="dxa"/>
            <w:noWrap/>
            <w:hideMark/>
          </w:tcPr>
          <w:p w14:paraId="22B8EE3D"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38.8 (37.0–40.3)</w:t>
            </w:r>
          </w:p>
        </w:tc>
      </w:tr>
      <w:tr w:rsidR="007A49FD" w:rsidRPr="00E251FB" w14:paraId="600E7FA9"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F17BEAC"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032-Cycling-3y-DHAPPQ-ASAQ</w:t>
            </w:r>
          </w:p>
        </w:tc>
        <w:tc>
          <w:tcPr>
            <w:tcW w:w="992" w:type="dxa"/>
            <w:noWrap/>
            <w:hideMark/>
          </w:tcPr>
          <w:p w14:paraId="1CFA8189"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51482F53"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8,472 (7,492–9,800)</w:t>
            </w:r>
          </w:p>
        </w:tc>
        <w:tc>
          <w:tcPr>
            <w:tcW w:w="1701" w:type="dxa"/>
            <w:noWrap/>
            <w:hideMark/>
          </w:tcPr>
          <w:p w14:paraId="594C52BA"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68.8 (63.9–72.4)</w:t>
            </w:r>
          </w:p>
        </w:tc>
      </w:tr>
      <w:tr w:rsidR="007A49FD" w:rsidRPr="00E251FB" w14:paraId="49B1A7E4"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27446B49"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040-Cycling-4y-AL-DHAPPQ</w:t>
            </w:r>
          </w:p>
        </w:tc>
        <w:tc>
          <w:tcPr>
            <w:tcW w:w="992" w:type="dxa"/>
            <w:noWrap/>
            <w:hideMark/>
          </w:tcPr>
          <w:p w14:paraId="06D490C9"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23C32A84"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39,240 (37,748–41,248)</w:t>
            </w:r>
          </w:p>
        </w:tc>
        <w:tc>
          <w:tcPr>
            <w:tcW w:w="1701" w:type="dxa"/>
            <w:noWrap/>
            <w:hideMark/>
          </w:tcPr>
          <w:p w14:paraId="1142C5F9"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16.1 (11.8–19.3)</w:t>
            </w:r>
          </w:p>
        </w:tc>
      </w:tr>
      <w:tr w:rsidR="007A49FD" w:rsidRPr="00E251FB" w14:paraId="76A47998"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F82A5C7"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040-Cycling-4y-AL-DHAPPQ</w:t>
            </w:r>
          </w:p>
        </w:tc>
        <w:tc>
          <w:tcPr>
            <w:tcW w:w="992" w:type="dxa"/>
            <w:noWrap/>
            <w:hideMark/>
          </w:tcPr>
          <w:p w14:paraId="121E95DE"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3A681F92"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18,659 (16,093–22,481)</w:t>
            </w:r>
          </w:p>
        </w:tc>
        <w:tc>
          <w:tcPr>
            <w:tcW w:w="1701" w:type="dxa"/>
            <w:noWrap/>
            <w:hideMark/>
          </w:tcPr>
          <w:p w14:paraId="478FE72D"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31.3 (17.2–40.7)</w:t>
            </w:r>
          </w:p>
        </w:tc>
      </w:tr>
      <w:tr w:rsidR="007A49FD" w:rsidRPr="00E251FB" w14:paraId="2B7F346B"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1ED9AAAA"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041-Cycling-4y-ASAQ-AL</w:t>
            </w:r>
          </w:p>
        </w:tc>
        <w:tc>
          <w:tcPr>
            <w:tcW w:w="992" w:type="dxa"/>
            <w:noWrap/>
            <w:hideMark/>
          </w:tcPr>
          <w:p w14:paraId="1F750B8F"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68493195"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33,706 (32,721–34,926)</w:t>
            </w:r>
          </w:p>
        </w:tc>
        <w:tc>
          <w:tcPr>
            <w:tcW w:w="1701" w:type="dxa"/>
            <w:noWrap/>
            <w:hideMark/>
          </w:tcPr>
          <w:p w14:paraId="5B0009A7"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27.9 (25.3–30.0)</w:t>
            </w:r>
          </w:p>
        </w:tc>
      </w:tr>
      <w:tr w:rsidR="007A49FD" w:rsidRPr="00E251FB" w14:paraId="497728BD"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4A0AC42A"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041-Cycling-4y-ASAQ-AL</w:t>
            </w:r>
          </w:p>
        </w:tc>
        <w:tc>
          <w:tcPr>
            <w:tcW w:w="992" w:type="dxa"/>
            <w:noWrap/>
            <w:hideMark/>
          </w:tcPr>
          <w:p w14:paraId="1A144A30"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176EDF7E"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11,418 (10,489–13,552)</w:t>
            </w:r>
          </w:p>
        </w:tc>
        <w:tc>
          <w:tcPr>
            <w:tcW w:w="1701" w:type="dxa"/>
            <w:noWrap/>
            <w:hideMark/>
          </w:tcPr>
          <w:p w14:paraId="1380A644"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57.9 (50.1–61.4)</w:t>
            </w:r>
          </w:p>
        </w:tc>
      </w:tr>
      <w:tr w:rsidR="007A49FD" w:rsidRPr="00E251FB" w14:paraId="7EC4AD44"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B62B0AD"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042-Cycling-4y-ASAQ-DHAPPQ</w:t>
            </w:r>
          </w:p>
        </w:tc>
        <w:tc>
          <w:tcPr>
            <w:tcW w:w="992" w:type="dxa"/>
            <w:noWrap/>
            <w:hideMark/>
          </w:tcPr>
          <w:p w14:paraId="1420CAC5"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490FAD06"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27,332 (26,584–28,274)</w:t>
            </w:r>
          </w:p>
        </w:tc>
        <w:tc>
          <w:tcPr>
            <w:tcW w:w="1701" w:type="dxa"/>
            <w:noWrap/>
            <w:hideMark/>
          </w:tcPr>
          <w:p w14:paraId="796DA7A0"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41.6 (39.5–43.2)</w:t>
            </w:r>
          </w:p>
        </w:tc>
      </w:tr>
      <w:tr w:rsidR="007A49FD" w:rsidRPr="00E251FB" w14:paraId="5A2F8F80"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5A380B8D"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042-Cycling-4y-ASAQ-DHAPPQ</w:t>
            </w:r>
          </w:p>
        </w:tc>
        <w:tc>
          <w:tcPr>
            <w:tcW w:w="992" w:type="dxa"/>
            <w:noWrap/>
            <w:hideMark/>
          </w:tcPr>
          <w:p w14:paraId="3320182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714C957E"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7,070 (6,527–7,544)</w:t>
            </w:r>
          </w:p>
        </w:tc>
        <w:tc>
          <w:tcPr>
            <w:tcW w:w="1701" w:type="dxa"/>
            <w:noWrap/>
            <w:hideMark/>
          </w:tcPr>
          <w:p w14:paraId="220FFB7C"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74.0 (72.2–75.9)</w:t>
            </w:r>
          </w:p>
        </w:tc>
      </w:tr>
      <w:tr w:rsidR="007A49FD" w:rsidRPr="00E251FB" w14:paraId="68421002"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DA0F7F7"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043-Cycling-4y-DHAPPQ-AL</w:t>
            </w:r>
          </w:p>
        </w:tc>
        <w:tc>
          <w:tcPr>
            <w:tcW w:w="992" w:type="dxa"/>
            <w:noWrap/>
            <w:hideMark/>
          </w:tcPr>
          <w:p w14:paraId="5355B019"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1951822E"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37,581 (36,006–39,811)</w:t>
            </w:r>
          </w:p>
        </w:tc>
        <w:tc>
          <w:tcPr>
            <w:tcW w:w="1701" w:type="dxa"/>
            <w:noWrap/>
            <w:hideMark/>
          </w:tcPr>
          <w:p w14:paraId="66FBE30B"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19.6 (14.9–23.0)</w:t>
            </w:r>
          </w:p>
        </w:tc>
      </w:tr>
      <w:tr w:rsidR="007A49FD" w:rsidRPr="00E251FB" w14:paraId="755E71AF"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496D15F6"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043-Cycling-4y-DHAPPQ-AL</w:t>
            </w:r>
          </w:p>
        </w:tc>
        <w:tc>
          <w:tcPr>
            <w:tcW w:w="992" w:type="dxa"/>
            <w:noWrap/>
            <w:hideMark/>
          </w:tcPr>
          <w:p w14:paraId="78F05428"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36D981E9"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18,408 (15,039–22,138)</w:t>
            </w:r>
          </w:p>
        </w:tc>
        <w:tc>
          <w:tcPr>
            <w:tcW w:w="1701" w:type="dxa"/>
            <w:noWrap/>
            <w:hideMark/>
          </w:tcPr>
          <w:p w14:paraId="51599964"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32.2 (18.4–44.6)</w:t>
            </w:r>
          </w:p>
        </w:tc>
      </w:tr>
      <w:tr w:rsidR="007A49FD" w:rsidRPr="00E251FB" w14:paraId="3CBFCCE0"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433C370B"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044-Cycling-4y-DHAPPQ-ASAQ</w:t>
            </w:r>
          </w:p>
        </w:tc>
        <w:tc>
          <w:tcPr>
            <w:tcW w:w="992" w:type="dxa"/>
            <w:noWrap/>
            <w:hideMark/>
          </w:tcPr>
          <w:p w14:paraId="78186D32"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5C220CF3"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30,838 (29,535–32,024)</w:t>
            </w:r>
          </w:p>
        </w:tc>
        <w:tc>
          <w:tcPr>
            <w:tcW w:w="1701" w:type="dxa"/>
            <w:noWrap/>
            <w:hideMark/>
          </w:tcPr>
          <w:p w14:paraId="2157B4CC"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34.1 (31.5–36.8)</w:t>
            </w:r>
          </w:p>
        </w:tc>
      </w:tr>
      <w:tr w:rsidR="007A49FD" w:rsidRPr="00E251FB" w14:paraId="696F35CE"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25239441"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044-Cycling-4y-DHAPPQ-ASAQ</w:t>
            </w:r>
          </w:p>
        </w:tc>
        <w:tc>
          <w:tcPr>
            <w:tcW w:w="992" w:type="dxa"/>
            <w:noWrap/>
            <w:hideMark/>
          </w:tcPr>
          <w:p w14:paraId="60FB4426"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22724B09"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12,514 (10,348–14,558)</w:t>
            </w:r>
          </w:p>
        </w:tc>
        <w:tc>
          <w:tcPr>
            <w:tcW w:w="1701" w:type="dxa"/>
            <w:noWrap/>
            <w:hideMark/>
          </w:tcPr>
          <w:p w14:paraId="15B55AF5"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53.9 (46.4–61.9)</w:t>
            </w:r>
          </w:p>
        </w:tc>
      </w:tr>
      <w:tr w:rsidR="007A49FD" w:rsidRPr="00E251FB" w14:paraId="3FC1FD41"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A7000A4"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051-mft-AL25-ASAQ75</w:t>
            </w:r>
          </w:p>
        </w:tc>
        <w:tc>
          <w:tcPr>
            <w:tcW w:w="992" w:type="dxa"/>
            <w:noWrap/>
            <w:hideMark/>
          </w:tcPr>
          <w:p w14:paraId="65D5877D"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4BBBC68A"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31,428 (30,659–32,461)</w:t>
            </w:r>
          </w:p>
        </w:tc>
        <w:tc>
          <w:tcPr>
            <w:tcW w:w="1701" w:type="dxa"/>
            <w:noWrap/>
            <w:hideMark/>
          </w:tcPr>
          <w:p w14:paraId="7DBC66D5"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32.8 (30.6–34.4)</w:t>
            </w:r>
          </w:p>
        </w:tc>
      </w:tr>
      <w:tr w:rsidR="007A49FD" w:rsidRPr="00E251FB" w14:paraId="2B123E5D"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101D7478"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051-mft-AL25-ASAQ75</w:t>
            </w:r>
          </w:p>
        </w:tc>
        <w:tc>
          <w:tcPr>
            <w:tcW w:w="992" w:type="dxa"/>
            <w:noWrap/>
            <w:hideMark/>
          </w:tcPr>
          <w:p w14:paraId="5509C881"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735DDD71"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10,205 (9,212–11,518)</w:t>
            </w:r>
          </w:p>
        </w:tc>
        <w:tc>
          <w:tcPr>
            <w:tcW w:w="1701" w:type="dxa"/>
            <w:noWrap/>
            <w:hideMark/>
          </w:tcPr>
          <w:p w14:paraId="73053D6C"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62.4 (57.6–66.1)</w:t>
            </w:r>
          </w:p>
        </w:tc>
      </w:tr>
      <w:tr w:rsidR="007A49FD" w:rsidRPr="00E251FB" w14:paraId="5E0AD87D"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5EF3F70"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052-mft-AL25-DHAPPQ75</w:t>
            </w:r>
          </w:p>
        </w:tc>
        <w:tc>
          <w:tcPr>
            <w:tcW w:w="992" w:type="dxa"/>
            <w:noWrap/>
            <w:hideMark/>
          </w:tcPr>
          <w:p w14:paraId="76619ABA"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1979D91E"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36,970 (35,590–39,124)</w:t>
            </w:r>
          </w:p>
        </w:tc>
        <w:tc>
          <w:tcPr>
            <w:tcW w:w="1701" w:type="dxa"/>
            <w:noWrap/>
            <w:hideMark/>
          </w:tcPr>
          <w:p w14:paraId="728B1E00"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21.0 (16.3–23.9)</w:t>
            </w:r>
          </w:p>
        </w:tc>
      </w:tr>
      <w:tr w:rsidR="007A49FD" w:rsidRPr="00E251FB" w14:paraId="58BF6F44"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120223A"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052-mft-AL25-DHAPPQ75</w:t>
            </w:r>
          </w:p>
        </w:tc>
        <w:tc>
          <w:tcPr>
            <w:tcW w:w="992" w:type="dxa"/>
            <w:noWrap/>
            <w:hideMark/>
          </w:tcPr>
          <w:p w14:paraId="28CDFDB6"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018B0583"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20,394 (17,260–23,666)</w:t>
            </w:r>
          </w:p>
        </w:tc>
        <w:tc>
          <w:tcPr>
            <w:tcW w:w="1701" w:type="dxa"/>
            <w:noWrap/>
            <w:hideMark/>
          </w:tcPr>
          <w:p w14:paraId="4D5F36A0"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24.9 (12.8–36.4)</w:t>
            </w:r>
          </w:p>
        </w:tc>
      </w:tr>
      <w:tr w:rsidR="007A49FD" w:rsidRPr="00E251FB" w14:paraId="12EB2980"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431C7286"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lastRenderedPageBreak/>
              <w:t>053-mft-ASAQ25-DHAPPQ75</w:t>
            </w:r>
          </w:p>
        </w:tc>
        <w:tc>
          <w:tcPr>
            <w:tcW w:w="992" w:type="dxa"/>
            <w:noWrap/>
            <w:hideMark/>
          </w:tcPr>
          <w:p w14:paraId="35624AF5"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16E26F66"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32,804 (31,483–34,003)</w:t>
            </w:r>
          </w:p>
        </w:tc>
        <w:tc>
          <w:tcPr>
            <w:tcW w:w="1701" w:type="dxa"/>
            <w:noWrap/>
            <w:hideMark/>
          </w:tcPr>
          <w:p w14:paraId="07D86018"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29.9 (27.3–32.7)</w:t>
            </w:r>
          </w:p>
        </w:tc>
      </w:tr>
      <w:tr w:rsidR="007A49FD" w:rsidRPr="00E251FB" w14:paraId="23232EAA"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2A3D07D"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053-mft-ASAQ25-DHAPPQ75</w:t>
            </w:r>
          </w:p>
        </w:tc>
        <w:tc>
          <w:tcPr>
            <w:tcW w:w="992" w:type="dxa"/>
            <w:noWrap/>
            <w:hideMark/>
          </w:tcPr>
          <w:p w14:paraId="41824611"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3DC6E147"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15,211 (13,129–17,667)</w:t>
            </w:r>
          </w:p>
        </w:tc>
        <w:tc>
          <w:tcPr>
            <w:tcW w:w="1701" w:type="dxa"/>
            <w:noWrap/>
            <w:hideMark/>
          </w:tcPr>
          <w:p w14:paraId="11BD383D"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44.0 (34.9–51.6)</w:t>
            </w:r>
          </w:p>
        </w:tc>
      </w:tr>
      <w:tr w:rsidR="007A49FD" w:rsidRPr="00E251FB" w14:paraId="52835D1F"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17C1F392"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054-mft-AL75-ASAQ25</w:t>
            </w:r>
          </w:p>
        </w:tc>
        <w:tc>
          <w:tcPr>
            <w:tcW w:w="992" w:type="dxa"/>
            <w:noWrap/>
            <w:hideMark/>
          </w:tcPr>
          <w:p w14:paraId="06A9EA48"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3F8D6F26"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41,447 (39,638–43,145)</w:t>
            </w:r>
          </w:p>
        </w:tc>
        <w:tc>
          <w:tcPr>
            <w:tcW w:w="1701" w:type="dxa"/>
            <w:noWrap/>
            <w:hideMark/>
          </w:tcPr>
          <w:p w14:paraId="2FEDD7FA"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11.4 (7.7–15.2)</w:t>
            </w:r>
          </w:p>
        </w:tc>
      </w:tr>
      <w:tr w:rsidR="007A49FD" w:rsidRPr="00E251FB" w14:paraId="7C76089C"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14985D29"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054-mft-AL75-ASAQ25</w:t>
            </w:r>
          </w:p>
        </w:tc>
        <w:tc>
          <w:tcPr>
            <w:tcW w:w="992" w:type="dxa"/>
            <w:noWrap/>
            <w:hideMark/>
          </w:tcPr>
          <w:p w14:paraId="343A9AC7"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47509690"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19,528 (17,062–23,377)</w:t>
            </w:r>
          </w:p>
        </w:tc>
        <w:tc>
          <w:tcPr>
            <w:tcW w:w="1701" w:type="dxa"/>
            <w:noWrap/>
            <w:hideMark/>
          </w:tcPr>
          <w:p w14:paraId="79ACFD15"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28.0 (13.9–37.1)</w:t>
            </w:r>
          </w:p>
        </w:tc>
      </w:tr>
      <w:tr w:rsidR="007A49FD" w:rsidRPr="00E251FB" w14:paraId="7D76BB29"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57353DC9"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055-mft-AL75-DHAPPQ25</w:t>
            </w:r>
          </w:p>
        </w:tc>
        <w:tc>
          <w:tcPr>
            <w:tcW w:w="992" w:type="dxa"/>
            <w:noWrap/>
            <w:hideMark/>
          </w:tcPr>
          <w:p w14:paraId="30901E43"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23E5CCCE"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41,529 (40,227–43,168)</w:t>
            </w:r>
          </w:p>
        </w:tc>
        <w:tc>
          <w:tcPr>
            <w:tcW w:w="1701" w:type="dxa"/>
            <w:noWrap/>
            <w:hideMark/>
          </w:tcPr>
          <w:p w14:paraId="41EEB3DB"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11.2 (7.7–14.0)</w:t>
            </w:r>
          </w:p>
        </w:tc>
      </w:tr>
      <w:tr w:rsidR="007A49FD" w:rsidRPr="00E251FB" w14:paraId="709EE9B0"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4EF71598"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055-mft-AL75-DHAPPQ25</w:t>
            </w:r>
          </w:p>
        </w:tc>
        <w:tc>
          <w:tcPr>
            <w:tcW w:w="992" w:type="dxa"/>
            <w:noWrap/>
            <w:hideMark/>
          </w:tcPr>
          <w:p w14:paraId="7804523D"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58D3EF2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20,151 (16,904–25,797)</w:t>
            </w:r>
          </w:p>
        </w:tc>
        <w:tc>
          <w:tcPr>
            <w:tcW w:w="1701" w:type="dxa"/>
            <w:noWrap/>
            <w:hideMark/>
          </w:tcPr>
          <w:p w14:paraId="558BD609"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25.8 (4.9–37.7)</w:t>
            </w:r>
          </w:p>
        </w:tc>
      </w:tr>
      <w:tr w:rsidR="007A49FD" w:rsidRPr="00E251FB" w14:paraId="5A5A2C77"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1B77FDA6"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056-mft-ASAQ75-DHAPPQ25</w:t>
            </w:r>
          </w:p>
        </w:tc>
        <w:tc>
          <w:tcPr>
            <w:tcW w:w="992" w:type="dxa"/>
            <w:noWrap/>
            <w:hideMark/>
          </w:tcPr>
          <w:p w14:paraId="654A94C1"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7939ACF1"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27,439 (26,757–28,193)</w:t>
            </w:r>
          </w:p>
        </w:tc>
        <w:tc>
          <w:tcPr>
            <w:tcW w:w="1701" w:type="dxa"/>
            <w:noWrap/>
            <w:hideMark/>
          </w:tcPr>
          <w:p w14:paraId="34AC8AEB" w14:textId="77777777" w:rsidR="007A49FD" w:rsidRPr="00222503"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222503">
              <w:rPr>
                <w:rFonts w:ascii="Calibri" w:eastAsia="Times New Roman" w:hAnsi="Calibri" w:cs="Calibri"/>
                <w:color w:val="000000"/>
                <w:kern w:val="0"/>
                <w:sz w:val="18"/>
                <w:szCs w:val="18"/>
                <w14:ligatures w14:val="none"/>
              </w:rPr>
              <w:t>41.3 (39.7–42.8)</w:t>
            </w:r>
          </w:p>
        </w:tc>
      </w:tr>
      <w:tr w:rsidR="007A49FD" w:rsidRPr="00E251FB" w14:paraId="5139806B"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5068BBED"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056-mft-ASAQ75-DHAPPQ25</w:t>
            </w:r>
          </w:p>
        </w:tc>
        <w:tc>
          <w:tcPr>
            <w:tcW w:w="992" w:type="dxa"/>
            <w:noWrap/>
            <w:hideMark/>
          </w:tcPr>
          <w:p w14:paraId="5CFE661C"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26A03968"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7,178 (6,614–7,753)</w:t>
            </w:r>
          </w:p>
        </w:tc>
        <w:tc>
          <w:tcPr>
            <w:tcW w:w="1701" w:type="dxa"/>
            <w:noWrap/>
            <w:hideMark/>
          </w:tcPr>
          <w:p w14:paraId="6BC72092" w14:textId="77777777" w:rsidR="007A49FD" w:rsidRPr="00222503"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222503">
              <w:rPr>
                <w:rFonts w:ascii="Calibri" w:eastAsia="Times New Roman" w:hAnsi="Calibri" w:cs="Calibri"/>
                <w:color w:val="000000"/>
                <w:kern w:val="0"/>
                <w:sz w:val="18"/>
                <w:szCs w:val="18"/>
                <w14:ligatures w14:val="none"/>
              </w:rPr>
              <w:t>73.6 (71.4–75.6)</w:t>
            </w:r>
          </w:p>
        </w:tc>
      </w:tr>
      <w:tr w:rsidR="007A49FD" w:rsidRPr="00E251FB" w14:paraId="4444234E"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26005A9F"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057-mft-AL50-ASAQ50</w:t>
            </w:r>
          </w:p>
        </w:tc>
        <w:tc>
          <w:tcPr>
            <w:tcW w:w="992" w:type="dxa"/>
            <w:noWrap/>
            <w:hideMark/>
          </w:tcPr>
          <w:p w14:paraId="76A13FC1"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2317BF95"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36,071 (34,921–37,673)</w:t>
            </w:r>
          </w:p>
        </w:tc>
        <w:tc>
          <w:tcPr>
            <w:tcW w:w="1701" w:type="dxa"/>
            <w:noWrap/>
            <w:hideMark/>
          </w:tcPr>
          <w:p w14:paraId="611D8354"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22.9 (19.4–25.3)</w:t>
            </w:r>
          </w:p>
        </w:tc>
      </w:tr>
      <w:tr w:rsidR="007A49FD" w:rsidRPr="00E251FB" w14:paraId="1D97145B"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50B2F7F"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057-mft-AL50-ASAQ50</w:t>
            </w:r>
          </w:p>
        </w:tc>
        <w:tc>
          <w:tcPr>
            <w:tcW w:w="992" w:type="dxa"/>
            <w:noWrap/>
            <w:hideMark/>
          </w:tcPr>
          <w:p w14:paraId="1929CB8B"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73725402"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14,053 (12,488–16,955)</w:t>
            </w:r>
          </w:p>
        </w:tc>
        <w:tc>
          <w:tcPr>
            <w:tcW w:w="1701" w:type="dxa"/>
            <w:noWrap/>
            <w:hideMark/>
          </w:tcPr>
          <w:p w14:paraId="040DB9A1"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48.2 (37.5–54.0)</w:t>
            </w:r>
          </w:p>
        </w:tc>
      </w:tr>
      <w:tr w:rsidR="007A49FD" w:rsidRPr="00E251FB" w14:paraId="785E5F73"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47F4A9BF"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058-mft-AL50-DHAPPQ50</w:t>
            </w:r>
          </w:p>
        </w:tc>
        <w:tc>
          <w:tcPr>
            <w:tcW w:w="992" w:type="dxa"/>
            <w:noWrap/>
            <w:hideMark/>
          </w:tcPr>
          <w:p w14:paraId="1020D131"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5605FF3E"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37,537 (36,373–39,091)</w:t>
            </w:r>
          </w:p>
        </w:tc>
        <w:tc>
          <w:tcPr>
            <w:tcW w:w="1701" w:type="dxa"/>
            <w:noWrap/>
            <w:hideMark/>
          </w:tcPr>
          <w:p w14:paraId="3F1DE170"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19.7 (16.4–22.2)</w:t>
            </w:r>
          </w:p>
        </w:tc>
      </w:tr>
      <w:tr w:rsidR="007A49FD" w:rsidRPr="00E251FB" w14:paraId="0A89965C"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5780AFD8"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058-mft-AL50-DHAPPQ50</w:t>
            </w:r>
          </w:p>
        </w:tc>
        <w:tc>
          <w:tcPr>
            <w:tcW w:w="992" w:type="dxa"/>
            <w:noWrap/>
            <w:hideMark/>
          </w:tcPr>
          <w:p w14:paraId="7EE6CF0D"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77A220E7"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17,019 (14,499–19,757)</w:t>
            </w:r>
          </w:p>
        </w:tc>
        <w:tc>
          <w:tcPr>
            <w:tcW w:w="1701" w:type="dxa"/>
            <w:noWrap/>
            <w:hideMark/>
          </w:tcPr>
          <w:p w14:paraId="21D52F70"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37.3 (27.2–46.6)</w:t>
            </w:r>
          </w:p>
        </w:tc>
      </w:tr>
      <w:tr w:rsidR="007A49FD" w:rsidRPr="00E251FB" w14:paraId="42BD6DE8"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5B5A0383"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059-mft-ASAQ50-DHAPPQ50</w:t>
            </w:r>
          </w:p>
        </w:tc>
        <w:tc>
          <w:tcPr>
            <w:tcW w:w="992" w:type="dxa"/>
            <w:noWrap/>
            <w:hideMark/>
          </w:tcPr>
          <w:p w14:paraId="2745AC5B"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36F1EAE3"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28,685 (27,574–29,867)</w:t>
            </w:r>
          </w:p>
        </w:tc>
        <w:tc>
          <w:tcPr>
            <w:tcW w:w="1701" w:type="dxa"/>
            <w:noWrap/>
            <w:hideMark/>
          </w:tcPr>
          <w:p w14:paraId="79CCD968"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38.7 (36.1–41.0)</w:t>
            </w:r>
          </w:p>
        </w:tc>
      </w:tr>
      <w:tr w:rsidR="007A49FD" w:rsidRPr="00E251FB" w14:paraId="7C2541A6"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82E322C"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059-mft-ASAQ50-DHAPPQ50</w:t>
            </w:r>
          </w:p>
        </w:tc>
        <w:tc>
          <w:tcPr>
            <w:tcW w:w="992" w:type="dxa"/>
            <w:noWrap/>
            <w:hideMark/>
          </w:tcPr>
          <w:p w14:paraId="1F47BA79"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1DC96A6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8,805 (7,773–10,051)</w:t>
            </w:r>
          </w:p>
        </w:tc>
        <w:tc>
          <w:tcPr>
            <w:tcW w:w="1701" w:type="dxa"/>
            <w:noWrap/>
            <w:hideMark/>
          </w:tcPr>
          <w:p w14:paraId="5304D9D2"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67.6 (63.0–71.4)</w:t>
            </w:r>
          </w:p>
        </w:tc>
      </w:tr>
      <w:tr w:rsidR="007A49FD" w:rsidRPr="00E251FB" w14:paraId="2B53EF70"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C5480E1"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060-mft-AL-ASAQ-DHAPPQ</w:t>
            </w:r>
          </w:p>
        </w:tc>
        <w:tc>
          <w:tcPr>
            <w:tcW w:w="992" w:type="dxa"/>
            <w:noWrap/>
            <w:hideMark/>
          </w:tcPr>
          <w:p w14:paraId="10E11015"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2532AF07"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33,358 (32,391–34,348)</w:t>
            </w:r>
          </w:p>
        </w:tc>
        <w:tc>
          <w:tcPr>
            <w:tcW w:w="1701" w:type="dxa"/>
            <w:noWrap/>
            <w:hideMark/>
          </w:tcPr>
          <w:p w14:paraId="24715844"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28.7 (26.6–30.7)</w:t>
            </w:r>
          </w:p>
        </w:tc>
      </w:tr>
      <w:tr w:rsidR="007A49FD" w:rsidRPr="00E251FB" w14:paraId="139DBE8D"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4E156125"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060-mft-AL-ASAQ-DHAPPQ</w:t>
            </w:r>
          </w:p>
        </w:tc>
        <w:tc>
          <w:tcPr>
            <w:tcW w:w="992" w:type="dxa"/>
            <w:noWrap/>
            <w:hideMark/>
          </w:tcPr>
          <w:p w14:paraId="253CB0E5"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245AFC9D"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11,652 (10,403–13,254)</w:t>
            </w:r>
          </w:p>
        </w:tc>
        <w:tc>
          <w:tcPr>
            <w:tcW w:w="1701" w:type="dxa"/>
            <w:noWrap/>
            <w:hideMark/>
          </w:tcPr>
          <w:p w14:paraId="5199C815"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57.1 (51.2–61.7)</w:t>
            </w:r>
          </w:p>
        </w:tc>
      </w:tr>
      <w:tr w:rsidR="007A49FD" w:rsidRPr="00E251FB" w14:paraId="33E49E49"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25A3D06F"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061-tact-AL4y-ALAQ</w:t>
            </w:r>
          </w:p>
        </w:tc>
        <w:tc>
          <w:tcPr>
            <w:tcW w:w="992" w:type="dxa"/>
            <w:noWrap/>
            <w:hideMark/>
          </w:tcPr>
          <w:p w14:paraId="1880086B"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02CFBF66"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37,636 (35,853–39,731)</w:t>
            </w:r>
          </w:p>
        </w:tc>
        <w:tc>
          <w:tcPr>
            <w:tcW w:w="1701" w:type="dxa"/>
            <w:noWrap/>
            <w:hideMark/>
          </w:tcPr>
          <w:p w14:paraId="76EE6D50"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19.5 (15.0–23.3)</w:t>
            </w:r>
          </w:p>
        </w:tc>
      </w:tr>
      <w:tr w:rsidR="007A49FD" w:rsidRPr="00E251FB" w14:paraId="5B8C67DC"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4992977"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061-tact-AL4y-ALAQ</w:t>
            </w:r>
          </w:p>
        </w:tc>
        <w:tc>
          <w:tcPr>
            <w:tcW w:w="992" w:type="dxa"/>
            <w:noWrap/>
            <w:hideMark/>
          </w:tcPr>
          <w:p w14:paraId="62D896FD"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2A25632B"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17,523 (14,780–21,680)</w:t>
            </w:r>
          </w:p>
        </w:tc>
        <w:tc>
          <w:tcPr>
            <w:tcW w:w="1701" w:type="dxa"/>
            <w:noWrap/>
            <w:hideMark/>
          </w:tcPr>
          <w:p w14:paraId="775A3ABD"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35.4 (20.1–45.5)</w:t>
            </w:r>
          </w:p>
        </w:tc>
      </w:tr>
      <w:tr w:rsidR="007A49FD" w:rsidRPr="00E251FB" w14:paraId="3A38ED3B"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4793EDC"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062-tact-ASAQ4y-ALAQ</w:t>
            </w:r>
          </w:p>
        </w:tc>
        <w:tc>
          <w:tcPr>
            <w:tcW w:w="992" w:type="dxa"/>
            <w:noWrap/>
            <w:hideMark/>
          </w:tcPr>
          <w:p w14:paraId="2A6D52E4"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3F11CDEB"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25,611 (25,008–26,212)</w:t>
            </w:r>
          </w:p>
        </w:tc>
        <w:tc>
          <w:tcPr>
            <w:tcW w:w="1701" w:type="dxa"/>
            <w:noWrap/>
            <w:hideMark/>
          </w:tcPr>
          <w:p w14:paraId="29158917"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45.2 (44.0–46.5)</w:t>
            </w:r>
          </w:p>
        </w:tc>
      </w:tr>
      <w:tr w:rsidR="007A49FD" w:rsidRPr="00E251FB" w14:paraId="4F102534"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4F1BAEA"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062-tact-ASAQ4y-ALAQ</w:t>
            </w:r>
          </w:p>
        </w:tc>
        <w:tc>
          <w:tcPr>
            <w:tcW w:w="992" w:type="dxa"/>
            <w:noWrap/>
            <w:hideMark/>
          </w:tcPr>
          <w:p w14:paraId="389C6B9D"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63D9403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6,007 (5,551–6,437)</w:t>
            </w:r>
          </w:p>
        </w:tc>
        <w:tc>
          <w:tcPr>
            <w:tcW w:w="1701" w:type="dxa"/>
            <w:noWrap/>
            <w:hideMark/>
          </w:tcPr>
          <w:p w14:paraId="2082A567"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77.9 (76.3–79.5)</w:t>
            </w:r>
          </w:p>
        </w:tc>
      </w:tr>
      <w:tr w:rsidR="007A49FD" w:rsidRPr="00E251FB" w14:paraId="5CC6EB65"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9700BFD"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063-tact-DHAPPQ4y-ALAQ</w:t>
            </w:r>
          </w:p>
        </w:tc>
        <w:tc>
          <w:tcPr>
            <w:tcW w:w="992" w:type="dxa"/>
            <w:noWrap/>
            <w:hideMark/>
          </w:tcPr>
          <w:p w14:paraId="1A88C96C"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0CA3E5EA"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29,059 (28,031–30,329)</w:t>
            </w:r>
          </w:p>
        </w:tc>
        <w:tc>
          <w:tcPr>
            <w:tcW w:w="1701" w:type="dxa"/>
            <w:noWrap/>
            <w:hideMark/>
          </w:tcPr>
          <w:p w14:paraId="06B805E6"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37.9 (35.2–40.1)</w:t>
            </w:r>
          </w:p>
        </w:tc>
      </w:tr>
      <w:tr w:rsidR="007A49FD" w:rsidRPr="00E251FB" w14:paraId="6F6B232E"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56416D4A"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063-tact-DHAPPQ4y-ALAQ</w:t>
            </w:r>
          </w:p>
        </w:tc>
        <w:tc>
          <w:tcPr>
            <w:tcW w:w="992" w:type="dxa"/>
            <w:noWrap/>
            <w:hideMark/>
          </w:tcPr>
          <w:p w14:paraId="270A836E"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5960DABE"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10,828 (9,504–12,323)</w:t>
            </w:r>
          </w:p>
        </w:tc>
        <w:tc>
          <w:tcPr>
            <w:tcW w:w="1701" w:type="dxa"/>
            <w:noWrap/>
            <w:hideMark/>
          </w:tcPr>
          <w:p w14:paraId="73B4854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60.1 (54.6–65.0)</w:t>
            </w:r>
          </w:p>
        </w:tc>
      </w:tr>
      <w:tr w:rsidR="007A49FD" w:rsidRPr="00E251FB" w14:paraId="1B47CCDA"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C3182BC"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064-tact-AL2y-ASAQ2y-ALAQ</w:t>
            </w:r>
          </w:p>
        </w:tc>
        <w:tc>
          <w:tcPr>
            <w:tcW w:w="992" w:type="dxa"/>
            <w:noWrap/>
            <w:hideMark/>
          </w:tcPr>
          <w:p w14:paraId="12715D36"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22119E49"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31,015 (29,807–32,393)</w:t>
            </w:r>
          </w:p>
        </w:tc>
        <w:tc>
          <w:tcPr>
            <w:tcW w:w="1701" w:type="dxa"/>
            <w:noWrap/>
            <w:hideMark/>
          </w:tcPr>
          <w:p w14:paraId="18F21CCE"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33.7 (30.7–36.3)</w:t>
            </w:r>
          </w:p>
        </w:tc>
      </w:tr>
      <w:tr w:rsidR="007A49FD" w:rsidRPr="00E251FB" w14:paraId="566898EA"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2C8A7BA6"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064-tact-AL2y-ASAQ2y-ALAQ</w:t>
            </w:r>
          </w:p>
        </w:tc>
        <w:tc>
          <w:tcPr>
            <w:tcW w:w="992" w:type="dxa"/>
            <w:noWrap/>
            <w:hideMark/>
          </w:tcPr>
          <w:p w14:paraId="57B64879"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07073A81"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10,604 (9,164–13,132)</w:t>
            </w:r>
          </w:p>
        </w:tc>
        <w:tc>
          <w:tcPr>
            <w:tcW w:w="1701" w:type="dxa"/>
            <w:noWrap/>
            <w:hideMark/>
          </w:tcPr>
          <w:p w14:paraId="3B5C1399"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60.9 (51.6–66.2)</w:t>
            </w:r>
          </w:p>
        </w:tc>
      </w:tr>
      <w:tr w:rsidR="007A49FD" w:rsidRPr="00E251FB" w14:paraId="0B1FBCD8"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5BF3C07"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065-tact-AL2y-DHAPPQ2y-ALAQ</w:t>
            </w:r>
          </w:p>
        </w:tc>
        <w:tc>
          <w:tcPr>
            <w:tcW w:w="992" w:type="dxa"/>
            <w:noWrap/>
            <w:hideMark/>
          </w:tcPr>
          <w:p w14:paraId="146E850E"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6EF31983"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31,071 (30,100–32,658)</w:t>
            </w:r>
          </w:p>
        </w:tc>
        <w:tc>
          <w:tcPr>
            <w:tcW w:w="1701" w:type="dxa"/>
            <w:noWrap/>
            <w:hideMark/>
          </w:tcPr>
          <w:p w14:paraId="7F26B5F7"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33.6 (30.2–35.6)</w:t>
            </w:r>
          </w:p>
        </w:tc>
      </w:tr>
      <w:tr w:rsidR="007A49FD" w:rsidRPr="00E251FB" w14:paraId="035367BE"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5B9C6489"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065-tact-AL2y-DHAPPQ2y-ALAQ</w:t>
            </w:r>
          </w:p>
        </w:tc>
        <w:tc>
          <w:tcPr>
            <w:tcW w:w="992" w:type="dxa"/>
            <w:noWrap/>
            <w:hideMark/>
          </w:tcPr>
          <w:p w14:paraId="19C9D335"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6EB86042"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10,592 (9,325–12,437)</w:t>
            </w:r>
          </w:p>
        </w:tc>
        <w:tc>
          <w:tcPr>
            <w:tcW w:w="1701" w:type="dxa"/>
            <w:noWrap/>
            <w:hideMark/>
          </w:tcPr>
          <w:p w14:paraId="3251B32C"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61.0 (54.2–65.6)</w:t>
            </w:r>
          </w:p>
        </w:tc>
      </w:tr>
      <w:tr w:rsidR="007A49FD" w:rsidRPr="00E251FB" w14:paraId="34252A1C"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1BFA5D0"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066-tact-ASAQ2y-AL2y-ALAQ</w:t>
            </w:r>
          </w:p>
        </w:tc>
        <w:tc>
          <w:tcPr>
            <w:tcW w:w="992" w:type="dxa"/>
            <w:noWrap/>
            <w:hideMark/>
          </w:tcPr>
          <w:p w14:paraId="2048E27A"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2725187F"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31,568 (30,479–32,861)</w:t>
            </w:r>
          </w:p>
        </w:tc>
        <w:tc>
          <w:tcPr>
            <w:tcW w:w="1701" w:type="dxa"/>
            <w:noWrap/>
            <w:hideMark/>
          </w:tcPr>
          <w:p w14:paraId="55298020"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32.5 (29.7–34.8)</w:t>
            </w:r>
          </w:p>
        </w:tc>
      </w:tr>
      <w:tr w:rsidR="007A49FD" w:rsidRPr="00E251FB" w14:paraId="21E93C60"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10CD4FE3"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066-tact-ASAQ2y-AL2y-ALAQ</w:t>
            </w:r>
          </w:p>
        </w:tc>
        <w:tc>
          <w:tcPr>
            <w:tcW w:w="992" w:type="dxa"/>
            <w:noWrap/>
            <w:hideMark/>
          </w:tcPr>
          <w:p w14:paraId="2F7E7788"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21BC5B80"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10,510 (9,072–12,922)</w:t>
            </w:r>
          </w:p>
        </w:tc>
        <w:tc>
          <w:tcPr>
            <w:tcW w:w="1701" w:type="dxa"/>
            <w:noWrap/>
            <w:hideMark/>
          </w:tcPr>
          <w:p w14:paraId="520EEEBA"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61.3 (52.4–66.6)</w:t>
            </w:r>
          </w:p>
        </w:tc>
      </w:tr>
      <w:tr w:rsidR="007A49FD" w:rsidRPr="00E251FB" w14:paraId="50872C06"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BBDEA72"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067-tact-ASAQ2y-DHAPPQ2y-ALAQ</w:t>
            </w:r>
          </w:p>
        </w:tc>
        <w:tc>
          <w:tcPr>
            <w:tcW w:w="992" w:type="dxa"/>
            <w:noWrap/>
            <w:hideMark/>
          </w:tcPr>
          <w:p w14:paraId="0FD7DA67"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66E263BA"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25,808 (25,060–26,514)</w:t>
            </w:r>
          </w:p>
        </w:tc>
        <w:tc>
          <w:tcPr>
            <w:tcW w:w="1701" w:type="dxa"/>
            <w:noWrap/>
            <w:hideMark/>
          </w:tcPr>
          <w:p w14:paraId="1618CD42"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44.8 (43.3–46.4)</w:t>
            </w:r>
          </w:p>
        </w:tc>
      </w:tr>
      <w:tr w:rsidR="007A49FD" w:rsidRPr="00E251FB" w14:paraId="3E99F7DB"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CB0D438"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067-tact-ASAQ2y-DHAPPQ2y-ALAQ</w:t>
            </w:r>
          </w:p>
        </w:tc>
        <w:tc>
          <w:tcPr>
            <w:tcW w:w="992" w:type="dxa"/>
            <w:noWrap/>
            <w:hideMark/>
          </w:tcPr>
          <w:p w14:paraId="56CA53B7"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2AFA788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5,867 (5,412–6,643)</w:t>
            </w:r>
          </w:p>
        </w:tc>
        <w:tc>
          <w:tcPr>
            <w:tcW w:w="1701" w:type="dxa"/>
            <w:noWrap/>
            <w:hideMark/>
          </w:tcPr>
          <w:p w14:paraId="65EFE10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78.4 (75.5–80.1)</w:t>
            </w:r>
          </w:p>
        </w:tc>
      </w:tr>
      <w:tr w:rsidR="007A49FD" w:rsidRPr="00E251FB" w14:paraId="6E66C598"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3C66C9E"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068-tact-DHAPPQ2y-AL2y-ALAQ</w:t>
            </w:r>
          </w:p>
        </w:tc>
        <w:tc>
          <w:tcPr>
            <w:tcW w:w="992" w:type="dxa"/>
            <w:noWrap/>
            <w:hideMark/>
          </w:tcPr>
          <w:p w14:paraId="5E41BDFE"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1B2295E3"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32,183 (31,113–33,210)</w:t>
            </w:r>
          </w:p>
        </w:tc>
        <w:tc>
          <w:tcPr>
            <w:tcW w:w="1701" w:type="dxa"/>
            <w:noWrap/>
            <w:hideMark/>
          </w:tcPr>
          <w:p w14:paraId="18DCEC6D"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31.2 (29.0–33.5)</w:t>
            </w:r>
          </w:p>
        </w:tc>
      </w:tr>
      <w:tr w:rsidR="007A49FD" w:rsidRPr="00E251FB" w14:paraId="3D82EA09"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7B75AAA"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068-tact-DHAPPQ2y-AL2y-ALAQ</w:t>
            </w:r>
          </w:p>
        </w:tc>
        <w:tc>
          <w:tcPr>
            <w:tcW w:w="992" w:type="dxa"/>
            <w:noWrap/>
            <w:hideMark/>
          </w:tcPr>
          <w:p w14:paraId="501E351A"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31E7FE56"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10,883 (9,622–12,980)</w:t>
            </w:r>
          </w:p>
        </w:tc>
        <w:tc>
          <w:tcPr>
            <w:tcW w:w="1701" w:type="dxa"/>
            <w:noWrap/>
            <w:hideMark/>
          </w:tcPr>
          <w:p w14:paraId="2C15058E"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59.9 (52.2–64.5)</w:t>
            </w:r>
          </w:p>
        </w:tc>
      </w:tr>
      <w:tr w:rsidR="007A49FD" w:rsidRPr="00E251FB" w14:paraId="3FF72A65"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2591FC1"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069-tact-DHAPPQ2y-ASAQ2y-ALAQ</w:t>
            </w:r>
          </w:p>
        </w:tc>
        <w:tc>
          <w:tcPr>
            <w:tcW w:w="992" w:type="dxa"/>
            <w:noWrap/>
            <w:hideMark/>
          </w:tcPr>
          <w:p w14:paraId="102409B4"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51950905"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25,953 (25,344–26,616)</w:t>
            </w:r>
          </w:p>
        </w:tc>
        <w:tc>
          <w:tcPr>
            <w:tcW w:w="1701" w:type="dxa"/>
            <w:noWrap/>
            <w:hideMark/>
          </w:tcPr>
          <w:p w14:paraId="5D87DB5B"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44.5 (43.1–45.8)</w:t>
            </w:r>
          </w:p>
        </w:tc>
      </w:tr>
      <w:tr w:rsidR="007A49FD" w:rsidRPr="00E251FB" w14:paraId="18B73FDC"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8223398"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069-tact-DHAPPQ2y-ASAQ2y-ALAQ</w:t>
            </w:r>
          </w:p>
        </w:tc>
        <w:tc>
          <w:tcPr>
            <w:tcW w:w="992" w:type="dxa"/>
            <w:noWrap/>
            <w:hideMark/>
          </w:tcPr>
          <w:p w14:paraId="23220BF6"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6C31A99E"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5,934 (5,413–6,511)</w:t>
            </w:r>
          </w:p>
        </w:tc>
        <w:tc>
          <w:tcPr>
            <w:tcW w:w="1701" w:type="dxa"/>
            <w:noWrap/>
            <w:hideMark/>
          </w:tcPr>
          <w:p w14:paraId="4844F6A7"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78.1 (76.0–80.1)</w:t>
            </w:r>
          </w:p>
        </w:tc>
      </w:tr>
      <w:tr w:rsidR="007A49FD" w:rsidRPr="00E251FB" w14:paraId="6674FFAC"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49199092"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070-tact-ALAQ-immediate</w:t>
            </w:r>
          </w:p>
        </w:tc>
        <w:tc>
          <w:tcPr>
            <w:tcW w:w="992" w:type="dxa"/>
            <w:noWrap/>
            <w:hideMark/>
          </w:tcPr>
          <w:p w14:paraId="74CC0CF9"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531AA7CA"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22,409 (21,940–23,267)</w:t>
            </w:r>
          </w:p>
        </w:tc>
        <w:tc>
          <w:tcPr>
            <w:tcW w:w="1701" w:type="dxa"/>
            <w:noWrap/>
            <w:hideMark/>
          </w:tcPr>
          <w:p w14:paraId="40A3C979"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52.1 (50.3–53.1)</w:t>
            </w:r>
          </w:p>
        </w:tc>
      </w:tr>
      <w:tr w:rsidR="007A49FD" w:rsidRPr="00E251FB" w14:paraId="3CED9645"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18145B9"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070-tact-ALAQ-immediate</w:t>
            </w:r>
          </w:p>
        </w:tc>
        <w:tc>
          <w:tcPr>
            <w:tcW w:w="992" w:type="dxa"/>
            <w:noWrap/>
            <w:hideMark/>
          </w:tcPr>
          <w:p w14:paraId="475C94B0"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45C0EC8B"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3,425 (3,177–3,791)</w:t>
            </w:r>
          </w:p>
        </w:tc>
        <w:tc>
          <w:tcPr>
            <w:tcW w:w="1701" w:type="dxa"/>
            <w:noWrap/>
            <w:hideMark/>
          </w:tcPr>
          <w:p w14:paraId="153F6AB6"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87.4 (86.0–88.3)</w:t>
            </w:r>
          </w:p>
        </w:tc>
      </w:tr>
      <w:tr w:rsidR="007A49FD" w:rsidRPr="00E251FB" w14:paraId="76F227BC"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1AA99DB"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071-mft-AL_75-ASPY85_25</w:t>
            </w:r>
          </w:p>
        </w:tc>
        <w:tc>
          <w:tcPr>
            <w:tcW w:w="992" w:type="dxa"/>
            <w:noWrap/>
            <w:hideMark/>
          </w:tcPr>
          <w:p w14:paraId="08DD104C"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23C6EDC2"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41,576 (40,056–43,428)</w:t>
            </w:r>
          </w:p>
        </w:tc>
        <w:tc>
          <w:tcPr>
            <w:tcW w:w="1701" w:type="dxa"/>
            <w:noWrap/>
            <w:hideMark/>
          </w:tcPr>
          <w:p w14:paraId="219BF426"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11.1 (7.1–14.4)</w:t>
            </w:r>
          </w:p>
        </w:tc>
      </w:tr>
      <w:tr w:rsidR="007A49FD" w:rsidRPr="00E251FB" w14:paraId="05EA8208"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42EB5C42"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071-mft-AL_75-ASPY85_25</w:t>
            </w:r>
          </w:p>
        </w:tc>
        <w:tc>
          <w:tcPr>
            <w:tcW w:w="992" w:type="dxa"/>
            <w:noWrap/>
            <w:hideMark/>
          </w:tcPr>
          <w:p w14:paraId="5A3F22EC"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432B947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20,308 (17,254–27,069)</w:t>
            </w:r>
          </w:p>
        </w:tc>
        <w:tc>
          <w:tcPr>
            <w:tcW w:w="1701" w:type="dxa"/>
            <w:noWrap/>
            <w:hideMark/>
          </w:tcPr>
          <w:p w14:paraId="79ECA107"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25.2 (0.3–36.4)</w:t>
            </w:r>
          </w:p>
        </w:tc>
      </w:tr>
      <w:tr w:rsidR="007A49FD" w:rsidRPr="00E251FB" w14:paraId="1252D378"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108B2362"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072-mft-AL_75-ASPY75_25</w:t>
            </w:r>
          </w:p>
        </w:tc>
        <w:tc>
          <w:tcPr>
            <w:tcW w:w="992" w:type="dxa"/>
            <w:noWrap/>
            <w:hideMark/>
          </w:tcPr>
          <w:p w14:paraId="44D91C1A"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5817DF72"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41,609 (39,564–43,523)</w:t>
            </w:r>
          </w:p>
        </w:tc>
        <w:tc>
          <w:tcPr>
            <w:tcW w:w="1701" w:type="dxa"/>
            <w:noWrap/>
            <w:hideMark/>
          </w:tcPr>
          <w:p w14:paraId="26E3F5A0"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11.0 (6.9–15.4)</w:t>
            </w:r>
          </w:p>
        </w:tc>
      </w:tr>
      <w:tr w:rsidR="007A49FD" w:rsidRPr="00E251FB" w14:paraId="7755478A"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E875BFE"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072-mft-AL_75-ASPY75_25</w:t>
            </w:r>
          </w:p>
        </w:tc>
        <w:tc>
          <w:tcPr>
            <w:tcW w:w="992" w:type="dxa"/>
            <w:noWrap/>
            <w:hideMark/>
          </w:tcPr>
          <w:p w14:paraId="79E0D7FE"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41CB185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20,583 (17,473–24,964)</w:t>
            </w:r>
          </w:p>
        </w:tc>
        <w:tc>
          <w:tcPr>
            <w:tcW w:w="1701" w:type="dxa"/>
            <w:noWrap/>
            <w:hideMark/>
          </w:tcPr>
          <w:p w14:paraId="2772B9F9"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24.2 (8.0–35.6)</w:t>
            </w:r>
          </w:p>
        </w:tc>
      </w:tr>
      <w:tr w:rsidR="007A49FD" w:rsidRPr="00E251FB" w14:paraId="77B47539"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1DA68148"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073-mft-AL_75-ASPY65_25</w:t>
            </w:r>
          </w:p>
        </w:tc>
        <w:tc>
          <w:tcPr>
            <w:tcW w:w="992" w:type="dxa"/>
            <w:noWrap/>
            <w:hideMark/>
          </w:tcPr>
          <w:p w14:paraId="17BA5C48"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637307AD"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41,643 (39,921–43,813)</w:t>
            </w:r>
          </w:p>
        </w:tc>
        <w:tc>
          <w:tcPr>
            <w:tcW w:w="1701" w:type="dxa"/>
            <w:noWrap/>
            <w:hideMark/>
          </w:tcPr>
          <w:p w14:paraId="4EFA69AA"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11.0 (6.3–14.6)</w:t>
            </w:r>
          </w:p>
        </w:tc>
      </w:tr>
      <w:tr w:rsidR="007A49FD" w:rsidRPr="00E251FB" w14:paraId="52508410"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101FD12"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lastRenderedPageBreak/>
              <w:t>073-mft-AL_75-ASPY65_25</w:t>
            </w:r>
          </w:p>
        </w:tc>
        <w:tc>
          <w:tcPr>
            <w:tcW w:w="992" w:type="dxa"/>
            <w:noWrap/>
            <w:hideMark/>
          </w:tcPr>
          <w:p w14:paraId="24569500"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289EE556"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21,162 (17,554–25,773)</w:t>
            </w:r>
          </w:p>
        </w:tc>
        <w:tc>
          <w:tcPr>
            <w:tcW w:w="1701" w:type="dxa"/>
            <w:noWrap/>
            <w:hideMark/>
          </w:tcPr>
          <w:p w14:paraId="72D0E0E4"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22.0 (5.0–35.3)</w:t>
            </w:r>
          </w:p>
        </w:tc>
      </w:tr>
      <w:tr w:rsidR="007A49FD" w:rsidRPr="00E251FB" w14:paraId="72503D1C"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5E72F9A"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074-mft-AL_50-ASPY85_50</w:t>
            </w:r>
          </w:p>
        </w:tc>
        <w:tc>
          <w:tcPr>
            <w:tcW w:w="992" w:type="dxa"/>
            <w:noWrap/>
            <w:hideMark/>
          </w:tcPr>
          <w:p w14:paraId="411A2653"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233D0FE7"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36,308 (35,054–37,937)</w:t>
            </w:r>
          </w:p>
        </w:tc>
        <w:tc>
          <w:tcPr>
            <w:tcW w:w="1701" w:type="dxa"/>
            <w:noWrap/>
            <w:hideMark/>
          </w:tcPr>
          <w:p w14:paraId="7897CAE9"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22.4 (18.9–25.0)</w:t>
            </w:r>
          </w:p>
        </w:tc>
      </w:tr>
      <w:tr w:rsidR="007A49FD" w:rsidRPr="00E251FB" w14:paraId="24AABB1F"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B454DBE"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074-mft-AL_50-ASPY85_50</w:t>
            </w:r>
          </w:p>
        </w:tc>
        <w:tc>
          <w:tcPr>
            <w:tcW w:w="992" w:type="dxa"/>
            <w:noWrap/>
            <w:hideMark/>
          </w:tcPr>
          <w:p w14:paraId="7CC41B28"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0A52C306"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14,935 (13,093–19,172)</w:t>
            </w:r>
          </w:p>
        </w:tc>
        <w:tc>
          <w:tcPr>
            <w:tcW w:w="1701" w:type="dxa"/>
            <w:noWrap/>
            <w:hideMark/>
          </w:tcPr>
          <w:p w14:paraId="24106977"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45.0 (29.4–51.8)</w:t>
            </w:r>
          </w:p>
        </w:tc>
      </w:tr>
      <w:tr w:rsidR="007A49FD" w:rsidRPr="00E251FB" w14:paraId="4C7679D3"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44D95347"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075-mft-AL_50-ASPY75_50</w:t>
            </w:r>
          </w:p>
        </w:tc>
        <w:tc>
          <w:tcPr>
            <w:tcW w:w="992" w:type="dxa"/>
            <w:noWrap/>
            <w:hideMark/>
          </w:tcPr>
          <w:p w14:paraId="605C9B6A"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5BC31C6E"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36,576 (35,395–38,399)</w:t>
            </w:r>
          </w:p>
        </w:tc>
        <w:tc>
          <w:tcPr>
            <w:tcW w:w="1701" w:type="dxa"/>
            <w:noWrap/>
            <w:hideMark/>
          </w:tcPr>
          <w:p w14:paraId="67268984"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21.8 (17.9–24.3)</w:t>
            </w:r>
          </w:p>
        </w:tc>
      </w:tr>
      <w:tr w:rsidR="007A49FD" w:rsidRPr="00E251FB" w14:paraId="472CFF11"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82C6A91"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075-mft-AL_50-ASPY75_50</w:t>
            </w:r>
          </w:p>
        </w:tc>
        <w:tc>
          <w:tcPr>
            <w:tcW w:w="992" w:type="dxa"/>
            <w:noWrap/>
            <w:hideMark/>
          </w:tcPr>
          <w:p w14:paraId="5B01317D"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57D46924"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15,050 (12,868–17,899)</w:t>
            </w:r>
          </w:p>
        </w:tc>
        <w:tc>
          <w:tcPr>
            <w:tcW w:w="1701" w:type="dxa"/>
            <w:noWrap/>
            <w:hideMark/>
          </w:tcPr>
          <w:p w14:paraId="0AD27707"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44.5 (34.1–52.6)</w:t>
            </w:r>
          </w:p>
        </w:tc>
      </w:tr>
      <w:tr w:rsidR="007A49FD" w:rsidRPr="00E251FB" w14:paraId="72502194"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2441F982"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076-mft-AL_50-ASPY65_50</w:t>
            </w:r>
          </w:p>
        </w:tc>
        <w:tc>
          <w:tcPr>
            <w:tcW w:w="992" w:type="dxa"/>
            <w:noWrap/>
            <w:hideMark/>
          </w:tcPr>
          <w:p w14:paraId="120DAAE6"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3161F5A6"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36,621 (35,425–38,371)</w:t>
            </w:r>
          </w:p>
        </w:tc>
        <w:tc>
          <w:tcPr>
            <w:tcW w:w="1701" w:type="dxa"/>
            <w:noWrap/>
            <w:hideMark/>
          </w:tcPr>
          <w:p w14:paraId="1619AEB5"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21.7 (18.0–24.3)</w:t>
            </w:r>
          </w:p>
        </w:tc>
      </w:tr>
      <w:tr w:rsidR="007A49FD" w:rsidRPr="00E251FB" w14:paraId="2675156C"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7252414"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076-mft-AL_50-ASPY65_50</w:t>
            </w:r>
          </w:p>
        </w:tc>
        <w:tc>
          <w:tcPr>
            <w:tcW w:w="992" w:type="dxa"/>
            <w:noWrap/>
            <w:hideMark/>
          </w:tcPr>
          <w:p w14:paraId="36E5C9BD"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28793386"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15,109 (13,296–18,127)</w:t>
            </w:r>
          </w:p>
        </w:tc>
        <w:tc>
          <w:tcPr>
            <w:tcW w:w="1701" w:type="dxa"/>
            <w:noWrap/>
            <w:hideMark/>
          </w:tcPr>
          <w:p w14:paraId="4CBA69AE"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44.3 (33.2–51.0)</w:t>
            </w:r>
          </w:p>
        </w:tc>
      </w:tr>
      <w:tr w:rsidR="007A49FD" w:rsidRPr="00E251FB" w14:paraId="3CCEF9D5"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4C3A892"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077-mft-ASAQ_75-ASPY85_25</w:t>
            </w:r>
          </w:p>
        </w:tc>
        <w:tc>
          <w:tcPr>
            <w:tcW w:w="992" w:type="dxa"/>
            <w:noWrap/>
            <w:hideMark/>
          </w:tcPr>
          <w:p w14:paraId="1126EF2A"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1DB1D6FB"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27,489 (26,922–28,106)</w:t>
            </w:r>
          </w:p>
        </w:tc>
        <w:tc>
          <w:tcPr>
            <w:tcW w:w="1701" w:type="dxa"/>
            <w:noWrap/>
            <w:hideMark/>
          </w:tcPr>
          <w:p w14:paraId="4A9121EA" w14:textId="77777777" w:rsidR="007A49FD" w:rsidRPr="00222503"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222503">
              <w:rPr>
                <w:rFonts w:ascii="Calibri" w:eastAsia="Times New Roman" w:hAnsi="Calibri" w:cs="Calibri"/>
                <w:color w:val="000000"/>
                <w:kern w:val="0"/>
                <w:sz w:val="18"/>
                <w:szCs w:val="18"/>
                <w14:ligatures w14:val="none"/>
              </w:rPr>
              <w:t>41.2 (39.9–42.4)</w:t>
            </w:r>
          </w:p>
        </w:tc>
      </w:tr>
      <w:tr w:rsidR="007A49FD" w:rsidRPr="00E251FB" w14:paraId="17D1F836"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B532277"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077-mft-ASAQ_75-ASPY85_25</w:t>
            </w:r>
          </w:p>
        </w:tc>
        <w:tc>
          <w:tcPr>
            <w:tcW w:w="992" w:type="dxa"/>
            <w:noWrap/>
            <w:hideMark/>
          </w:tcPr>
          <w:p w14:paraId="6F5E1102"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06BF7B95"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7,159 (6,663–7,632)</w:t>
            </w:r>
          </w:p>
        </w:tc>
        <w:tc>
          <w:tcPr>
            <w:tcW w:w="1701" w:type="dxa"/>
            <w:noWrap/>
            <w:hideMark/>
          </w:tcPr>
          <w:p w14:paraId="7AF4AE5C" w14:textId="77777777" w:rsidR="007A49FD" w:rsidRPr="00222503"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222503">
              <w:rPr>
                <w:rFonts w:ascii="Calibri" w:eastAsia="Times New Roman" w:hAnsi="Calibri" w:cs="Calibri"/>
                <w:color w:val="000000"/>
                <w:kern w:val="0"/>
                <w:sz w:val="18"/>
                <w:szCs w:val="18"/>
                <w14:ligatures w14:val="none"/>
              </w:rPr>
              <w:t>73.6 (71.9–75.4)</w:t>
            </w:r>
          </w:p>
        </w:tc>
      </w:tr>
      <w:tr w:rsidR="007A49FD" w:rsidRPr="00E251FB" w14:paraId="01B33C65"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D2BDB99"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078-mft-ASAQ_75-ASPY75_25</w:t>
            </w:r>
          </w:p>
        </w:tc>
        <w:tc>
          <w:tcPr>
            <w:tcW w:w="992" w:type="dxa"/>
            <w:noWrap/>
            <w:hideMark/>
          </w:tcPr>
          <w:p w14:paraId="46946E53"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475935A7"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27,621 (26,915–28,347)</w:t>
            </w:r>
          </w:p>
        </w:tc>
        <w:tc>
          <w:tcPr>
            <w:tcW w:w="1701" w:type="dxa"/>
            <w:noWrap/>
            <w:hideMark/>
          </w:tcPr>
          <w:p w14:paraId="446C16CB" w14:textId="77777777" w:rsidR="007A49FD" w:rsidRPr="00222503"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222503">
              <w:rPr>
                <w:rFonts w:ascii="Calibri" w:eastAsia="Times New Roman" w:hAnsi="Calibri" w:cs="Calibri"/>
                <w:color w:val="000000"/>
                <w:kern w:val="0"/>
                <w:sz w:val="18"/>
                <w:szCs w:val="18"/>
                <w14:ligatures w14:val="none"/>
              </w:rPr>
              <w:t>40.9 (39.4–42.4)</w:t>
            </w:r>
          </w:p>
        </w:tc>
      </w:tr>
      <w:tr w:rsidR="007A49FD" w:rsidRPr="00E251FB" w14:paraId="33FF944A"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5420AF94"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078-mft-ASAQ_75-ASPY75_25</w:t>
            </w:r>
          </w:p>
        </w:tc>
        <w:tc>
          <w:tcPr>
            <w:tcW w:w="992" w:type="dxa"/>
            <w:noWrap/>
            <w:hideMark/>
          </w:tcPr>
          <w:p w14:paraId="04FCA626"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6B7EC111"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7,184 (6,602–7,972)</w:t>
            </w:r>
          </w:p>
        </w:tc>
        <w:tc>
          <w:tcPr>
            <w:tcW w:w="1701" w:type="dxa"/>
            <w:noWrap/>
            <w:hideMark/>
          </w:tcPr>
          <w:p w14:paraId="78C18B07" w14:textId="77777777" w:rsidR="007A49FD" w:rsidRPr="00222503"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222503">
              <w:rPr>
                <w:rFonts w:ascii="Calibri" w:eastAsia="Times New Roman" w:hAnsi="Calibri" w:cs="Calibri"/>
                <w:color w:val="000000"/>
                <w:kern w:val="0"/>
                <w:sz w:val="18"/>
                <w:szCs w:val="18"/>
                <w14:ligatures w14:val="none"/>
              </w:rPr>
              <w:t>73.5 (70.6–75.7)</w:t>
            </w:r>
          </w:p>
        </w:tc>
      </w:tr>
      <w:tr w:rsidR="007A49FD" w:rsidRPr="00E251FB" w14:paraId="6A901B67"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EE8A163"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079-mft-ASAQ_75-ASPY65_25</w:t>
            </w:r>
          </w:p>
        </w:tc>
        <w:tc>
          <w:tcPr>
            <w:tcW w:w="992" w:type="dxa"/>
            <w:noWrap/>
            <w:hideMark/>
          </w:tcPr>
          <w:p w14:paraId="6D84503E"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08074F57"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27,556 (26,931–28,675)</w:t>
            </w:r>
          </w:p>
        </w:tc>
        <w:tc>
          <w:tcPr>
            <w:tcW w:w="1701" w:type="dxa"/>
            <w:noWrap/>
            <w:hideMark/>
          </w:tcPr>
          <w:p w14:paraId="1B7B76FA" w14:textId="77777777" w:rsidR="007A49FD" w:rsidRPr="00222503"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222503">
              <w:rPr>
                <w:rFonts w:ascii="Calibri" w:eastAsia="Times New Roman" w:hAnsi="Calibri" w:cs="Calibri"/>
                <w:color w:val="000000"/>
                <w:kern w:val="0"/>
                <w:sz w:val="18"/>
                <w:szCs w:val="18"/>
                <w14:ligatures w14:val="none"/>
              </w:rPr>
              <w:t>41.1 (38.7–42.4)</w:t>
            </w:r>
          </w:p>
        </w:tc>
      </w:tr>
      <w:tr w:rsidR="007A49FD" w:rsidRPr="00E251FB" w14:paraId="58501881"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5781C4E"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079-mft-ASAQ_75-ASPY65_25</w:t>
            </w:r>
          </w:p>
        </w:tc>
        <w:tc>
          <w:tcPr>
            <w:tcW w:w="992" w:type="dxa"/>
            <w:noWrap/>
            <w:hideMark/>
          </w:tcPr>
          <w:p w14:paraId="5BE2A6AA"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2120A8CB"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7,285 (6,709–7,953)</w:t>
            </w:r>
          </w:p>
        </w:tc>
        <w:tc>
          <w:tcPr>
            <w:tcW w:w="1701" w:type="dxa"/>
            <w:noWrap/>
            <w:hideMark/>
          </w:tcPr>
          <w:p w14:paraId="7CF82FD6" w14:textId="77777777" w:rsidR="007A49FD" w:rsidRPr="00222503"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222503">
              <w:rPr>
                <w:rFonts w:ascii="Calibri" w:eastAsia="Times New Roman" w:hAnsi="Calibri" w:cs="Calibri"/>
                <w:color w:val="000000"/>
                <w:kern w:val="0"/>
                <w:sz w:val="18"/>
                <w:szCs w:val="18"/>
                <w14:ligatures w14:val="none"/>
              </w:rPr>
              <w:t>73.2 (70.7–75.3)</w:t>
            </w:r>
          </w:p>
        </w:tc>
      </w:tr>
      <w:tr w:rsidR="007A49FD" w:rsidRPr="00E251FB" w14:paraId="1D7D55F2"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13C8FF22"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080-mft-ASAQ_50-ASPY85_50</w:t>
            </w:r>
          </w:p>
        </w:tc>
        <w:tc>
          <w:tcPr>
            <w:tcW w:w="992" w:type="dxa"/>
            <w:noWrap/>
            <w:hideMark/>
          </w:tcPr>
          <w:p w14:paraId="20F06EE8"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42DB6C8F"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27,464 (26,905–28,221)</w:t>
            </w:r>
          </w:p>
        </w:tc>
        <w:tc>
          <w:tcPr>
            <w:tcW w:w="1701" w:type="dxa"/>
            <w:noWrap/>
            <w:hideMark/>
          </w:tcPr>
          <w:p w14:paraId="76E07F37" w14:textId="77777777" w:rsidR="007A49FD" w:rsidRPr="00222503"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222503">
              <w:rPr>
                <w:rFonts w:ascii="Calibri" w:eastAsia="Times New Roman" w:hAnsi="Calibri" w:cs="Calibri"/>
                <w:color w:val="000000"/>
                <w:kern w:val="0"/>
                <w:sz w:val="18"/>
                <w:szCs w:val="18"/>
                <w14:ligatures w14:val="none"/>
              </w:rPr>
              <w:t>41.3 (39.7–42.5)</w:t>
            </w:r>
          </w:p>
        </w:tc>
      </w:tr>
      <w:tr w:rsidR="007A49FD" w:rsidRPr="00E251FB" w14:paraId="557514EB"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C56ED38"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080-mft-ASAQ_50-ASPY85_50</w:t>
            </w:r>
          </w:p>
        </w:tc>
        <w:tc>
          <w:tcPr>
            <w:tcW w:w="992" w:type="dxa"/>
            <w:noWrap/>
            <w:hideMark/>
          </w:tcPr>
          <w:p w14:paraId="5DD7620C"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2AD944F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7,095 (6,515–7,738)</w:t>
            </w:r>
          </w:p>
        </w:tc>
        <w:tc>
          <w:tcPr>
            <w:tcW w:w="1701" w:type="dxa"/>
            <w:noWrap/>
            <w:hideMark/>
          </w:tcPr>
          <w:p w14:paraId="6C38ADEC" w14:textId="77777777" w:rsidR="007A49FD" w:rsidRPr="00222503"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222503">
              <w:rPr>
                <w:rFonts w:ascii="Calibri" w:eastAsia="Times New Roman" w:hAnsi="Calibri" w:cs="Calibri"/>
                <w:color w:val="000000"/>
                <w:kern w:val="0"/>
                <w:sz w:val="18"/>
                <w:szCs w:val="18"/>
                <w14:ligatures w14:val="none"/>
              </w:rPr>
              <w:t>73.9 (71.5–76.0)</w:t>
            </w:r>
          </w:p>
        </w:tc>
      </w:tr>
      <w:tr w:rsidR="007A49FD" w:rsidRPr="00E251FB" w14:paraId="779E4109"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7B061A7"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081-mft-ASAQ_50-ASPY75_50</w:t>
            </w:r>
          </w:p>
        </w:tc>
        <w:tc>
          <w:tcPr>
            <w:tcW w:w="992" w:type="dxa"/>
            <w:noWrap/>
            <w:hideMark/>
          </w:tcPr>
          <w:p w14:paraId="149EF4D3"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3122FC20"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27,615 (27,003–28,300)</w:t>
            </w:r>
          </w:p>
        </w:tc>
        <w:tc>
          <w:tcPr>
            <w:tcW w:w="1701" w:type="dxa"/>
            <w:noWrap/>
            <w:hideMark/>
          </w:tcPr>
          <w:p w14:paraId="262F1751" w14:textId="77777777" w:rsidR="007A49FD" w:rsidRPr="00222503"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222503">
              <w:rPr>
                <w:rFonts w:ascii="Calibri" w:eastAsia="Times New Roman" w:hAnsi="Calibri" w:cs="Calibri"/>
                <w:color w:val="000000"/>
                <w:kern w:val="0"/>
                <w:sz w:val="18"/>
                <w:szCs w:val="18"/>
                <w14:ligatures w14:val="none"/>
              </w:rPr>
              <w:t>41.0 (39.5–42.3)</w:t>
            </w:r>
          </w:p>
        </w:tc>
      </w:tr>
      <w:tr w:rsidR="007A49FD" w:rsidRPr="00E251FB" w14:paraId="7A2896F5"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D31E278"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081-mft-ASAQ_50-ASPY75_50</w:t>
            </w:r>
          </w:p>
        </w:tc>
        <w:tc>
          <w:tcPr>
            <w:tcW w:w="992" w:type="dxa"/>
            <w:noWrap/>
            <w:hideMark/>
          </w:tcPr>
          <w:p w14:paraId="4DC9D429"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52DCF612"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7,174 (6,675–7,886)</w:t>
            </w:r>
          </w:p>
        </w:tc>
        <w:tc>
          <w:tcPr>
            <w:tcW w:w="1701" w:type="dxa"/>
            <w:noWrap/>
            <w:hideMark/>
          </w:tcPr>
          <w:p w14:paraId="01D8EDD4" w14:textId="77777777" w:rsidR="007A49FD" w:rsidRPr="00222503"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222503">
              <w:rPr>
                <w:rFonts w:ascii="Calibri" w:eastAsia="Times New Roman" w:hAnsi="Calibri" w:cs="Calibri"/>
                <w:color w:val="000000"/>
                <w:kern w:val="0"/>
                <w:sz w:val="18"/>
                <w:szCs w:val="18"/>
                <w14:ligatures w14:val="none"/>
              </w:rPr>
              <w:t>73.6 (70.9–75.4)</w:t>
            </w:r>
          </w:p>
        </w:tc>
      </w:tr>
      <w:tr w:rsidR="007A49FD" w:rsidRPr="00E251FB" w14:paraId="3E86E95F"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2343703"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082-mft-ASAQ_50-ASPY65_50</w:t>
            </w:r>
          </w:p>
        </w:tc>
        <w:tc>
          <w:tcPr>
            <w:tcW w:w="992" w:type="dxa"/>
            <w:noWrap/>
            <w:hideMark/>
          </w:tcPr>
          <w:p w14:paraId="282F17D4"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31B1DA2A"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27,865 (27,027–28,614)</w:t>
            </w:r>
          </w:p>
        </w:tc>
        <w:tc>
          <w:tcPr>
            <w:tcW w:w="1701" w:type="dxa"/>
            <w:noWrap/>
            <w:hideMark/>
          </w:tcPr>
          <w:p w14:paraId="0F0B45F1" w14:textId="77777777" w:rsidR="007A49FD" w:rsidRPr="00222503"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222503">
              <w:rPr>
                <w:rFonts w:ascii="Calibri" w:eastAsia="Times New Roman" w:hAnsi="Calibri" w:cs="Calibri"/>
                <w:color w:val="000000"/>
                <w:kern w:val="0"/>
                <w:sz w:val="18"/>
                <w:szCs w:val="18"/>
                <w14:ligatures w14:val="none"/>
              </w:rPr>
              <w:t>40.4 (38.8–42.2)</w:t>
            </w:r>
          </w:p>
        </w:tc>
      </w:tr>
      <w:tr w:rsidR="007A49FD" w:rsidRPr="00E251FB" w14:paraId="6D1FF650"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58B3AB8A"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082-mft-ASAQ_50-ASPY65_50</w:t>
            </w:r>
          </w:p>
        </w:tc>
        <w:tc>
          <w:tcPr>
            <w:tcW w:w="992" w:type="dxa"/>
            <w:noWrap/>
            <w:hideMark/>
          </w:tcPr>
          <w:p w14:paraId="7FC8B8A7"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5260D19B"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7,408 (6,846–8,221)</w:t>
            </w:r>
          </w:p>
        </w:tc>
        <w:tc>
          <w:tcPr>
            <w:tcW w:w="1701" w:type="dxa"/>
            <w:noWrap/>
            <w:hideMark/>
          </w:tcPr>
          <w:p w14:paraId="67561992"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72.7 (69.7–74.8)</w:t>
            </w:r>
          </w:p>
        </w:tc>
      </w:tr>
      <w:tr w:rsidR="007A49FD" w:rsidRPr="00E251FB" w14:paraId="32E85146"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E395A10"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083-mft-AL-DHAPPQ-ASPY85</w:t>
            </w:r>
          </w:p>
        </w:tc>
        <w:tc>
          <w:tcPr>
            <w:tcW w:w="992" w:type="dxa"/>
            <w:noWrap/>
            <w:hideMark/>
          </w:tcPr>
          <w:p w14:paraId="79411384"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5096AAF5"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33,630 (32,537–35,529)</w:t>
            </w:r>
          </w:p>
        </w:tc>
        <w:tc>
          <w:tcPr>
            <w:tcW w:w="1701" w:type="dxa"/>
            <w:noWrap/>
            <w:hideMark/>
          </w:tcPr>
          <w:p w14:paraId="3F296A85"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28.1 (24.0–30.4)</w:t>
            </w:r>
          </w:p>
        </w:tc>
      </w:tr>
      <w:tr w:rsidR="007A49FD" w:rsidRPr="00E251FB" w14:paraId="0200D027"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1582C5EC"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083-mft-AL-DHAPPQ-ASPY85</w:t>
            </w:r>
          </w:p>
        </w:tc>
        <w:tc>
          <w:tcPr>
            <w:tcW w:w="992" w:type="dxa"/>
            <w:noWrap/>
            <w:hideMark/>
          </w:tcPr>
          <w:p w14:paraId="54EF99E4"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06EFB1A6"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11,780 (10,382–13,769)</w:t>
            </w:r>
          </w:p>
        </w:tc>
        <w:tc>
          <w:tcPr>
            <w:tcW w:w="1701" w:type="dxa"/>
            <w:noWrap/>
            <w:hideMark/>
          </w:tcPr>
          <w:p w14:paraId="347EDD69"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56.6 (49.3–61.7)</w:t>
            </w:r>
          </w:p>
        </w:tc>
      </w:tr>
      <w:tr w:rsidR="007A49FD" w:rsidRPr="00E251FB" w14:paraId="268CB143"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43E14D3"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084-mft-AL-DHAPPQ-ASPY75</w:t>
            </w:r>
          </w:p>
        </w:tc>
        <w:tc>
          <w:tcPr>
            <w:tcW w:w="992" w:type="dxa"/>
            <w:noWrap/>
            <w:hideMark/>
          </w:tcPr>
          <w:p w14:paraId="0CB1C663"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1B148561"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33,439 (32,179–34,842)</w:t>
            </w:r>
          </w:p>
        </w:tc>
        <w:tc>
          <w:tcPr>
            <w:tcW w:w="1701" w:type="dxa"/>
            <w:noWrap/>
            <w:hideMark/>
          </w:tcPr>
          <w:p w14:paraId="7D4DA3AA"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28.5 (25.5–31.2)</w:t>
            </w:r>
          </w:p>
        </w:tc>
      </w:tr>
      <w:tr w:rsidR="007A49FD" w:rsidRPr="00E251FB" w14:paraId="44FE53BE"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E791E98"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084-mft-AL-DHAPPQ-ASPY75</w:t>
            </w:r>
          </w:p>
        </w:tc>
        <w:tc>
          <w:tcPr>
            <w:tcW w:w="992" w:type="dxa"/>
            <w:noWrap/>
            <w:hideMark/>
          </w:tcPr>
          <w:p w14:paraId="0797A376"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5F668B1B"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11,943 (10,555–14,006)</w:t>
            </w:r>
          </w:p>
        </w:tc>
        <w:tc>
          <w:tcPr>
            <w:tcW w:w="1701" w:type="dxa"/>
            <w:noWrap/>
            <w:hideMark/>
          </w:tcPr>
          <w:p w14:paraId="7BF36F36"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56.0 (48.4–61.1)</w:t>
            </w:r>
          </w:p>
        </w:tc>
      </w:tr>
      <w:tr w:rsidR="007A49FD" w:rsidRPr="00E251FB" w14:paraId="6BAE4979"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BDF73DE"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085-mft-AL-DHAPPQ-ASPY65</w:t>
            </w:r>
          </w:p>
        </w:tc>
        <w:tc>
          <w:tcPr>
            <w:tcW w:w="992" w:type="dxa"/>
            <w:noWrap/>
            <w:hideMark/>
          </w:tcPr>
          <w:p w14:paraId="766CEF4D"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4C254D24"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33,850 (32,686–35,281)</w:t>
            </w:r>
          </w:p>
        </w:tc>
        <w:tc>
          <w:tcPr>
            <w:tcW w:w="1701" w:type="dxa"/>
            <w:noWrap/>
            <w:hideMark/>
          </w:tcPr>
          <w:p w14:paraId="4E0D34C5"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27.6 (24.6–30.1)</w:t>
            </w:r>
          </w:p>
        </w:tc>
      </w:tr>
      <w:tr w:rsidR="007A49FD" w:rsidRPr="00E251FB" w14:paraId="2B8837E9"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184593FB"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085-mft-AL-DHAPPQ-ASPY65</w:t>
            </w:r>
          </w:p>
        </w:tc>
        <w:tc>
          <w:tcPr>
            <w:tcW w:w="992" w:type="dxa"/>
            <w:noWrap/>
            <w:hideMark/>
          </w:tcPr>
          <w:p w14:paraId="404AC2C0"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0F1E0CEE"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12,113 (10,772–14,048)</w:t>
            </w:r>
          </w:p>
        </w:tc>
        <w:tc>
          <w:tcPr>
            <w:tcW w:w="1701" w:type="dxa"/>
            <w:noWrap/>
            <w:hideMark/>
          </w:tcPr>
          <w:p w14:paraId="0EE2BD63"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55.4 (48.2–60.3)</w:t>
            </w:r>
          </w:p>
        </w:tc>
      </w:tr>
      <w:tr w:rsidR="007A49FD" w:rsidRPr="00E251FB" w14:paraId="4E74B7CA"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23D5C149"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086-mft-ASAQ-DHAPPQ-ASPY85</w:t>
            </w:r>
          </w:p>
        </w:tc>
        <w:tc>
          <w:tcPr>
            <w:tcW w:w="992" w:type="dxa"/>
            <w:noWrap/>
            <w:hideMark/>
          </w:tcPr>
          <w:p w14:paraId="5A64C69D"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67245E9B"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27,602 (26,984–28,959)</w:t>
            </w:r>
          </w:p>
        </w:tc>
        <w:tc>
          <w:tcPr>
            <w:tcW w:w="1701" w:type="dxa"/>
            <w:noWrap/>
            <w:hideMark/>
          </w:tcPr>
          <w:p w14:paraId="794E5DE3" w14:textId="77777777" w:rsidR="007A49FD" w:rsidRPr="00222503"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222503">
              <w:rPr>
                <w:rFonts w:ascii="Calibri" w:eastAsia="Times New Roman" w:hAnsi="Calibri" w:cs="Calibri"/>
                <w:color w:val="000000"/>
                <w:kern w:val="0"/>
                <w:sz w:val="18"/>
                <w:szCs w:val="18"/>
                <w14:ligatures w14:val="none"/>
              </w:rPr>
              <w:t>41.0 (38.1–42.3)</w:t>
            </w:r>
          </w:p>
        </w:tc>
      </w:tr>
      <w:tr w:rsidR="007A49FD" w:rsidRPr="00E251FB" w14:paraId="6DBE7700"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EBB90A1"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086-mft-ASAQ-DHAPPQ-ASPY85</w:t>
            </w:r>
          </w:p>
        </w:tc>
        <w:tc>
          <w:tcPr>
            <w:tcW w:w="992" w:type="dxa"/>
            <w:noWrap/>
            <w:hideMark/>
          </w:tcPr>
          <w:p w14:paraId="2CA85EE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524EC69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7,237 (6,602–7,942)</w:t>
            </w:r>
          </w:p>
        </w:tc>
        <w:tc>
          <w:tcPr>
            <w:tcW w:w="1701" w:type="dxa"/>
            <w:noWrap/>
            <w:hideMark/>
          </w:tcPr>
          <w:p w14:paraId="3326ACC3" w14:textId="77777777" w:rsidR="007A49FD" w:rsidRPr="00222503"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222503">
              <w:rPr>
                <w:rFonts w:ascii="Calibri" w:eastAsia="Times New Roman" w:hAnsi="Calibri" w:cs="Calibri"/>
                <w:color w:val="000000"/>
                <w:kern w:val="0"/>
                <w:sz w:val="18"/>
                <w:szCs w:val="18"/>
                <w14:ligatures w14:val="none"/>
              </w:rPr>
              <w:t>73.3 (70.7–75.7)</w:t>
            </w:r>
          </w:p>
        </w:tc>
      </w:tr>
      <w:tr w:rsidR="007A49FD" w:rsidRPr="00E251FB" w14:paraId="31973DA8"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EE823C0"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087-mft-ASAQ-DHAPPQ-ASPY75</w:t>
            </w:r>
          </w:p>
        </w:tc>
        <w:tc>
          <w:tcPr>
            <w:tcW w:w="992" w:type="dxa"/>
            <w:noWrap/>
            <w:hideMark/>
          </w:tcPr>
          <w:p w14:paraId="6AB0540A"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0994F4EE"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27,740 (27,001–28,555)</w:t>
            </w:r>
          </w:p>
        </w:tc>
        <w:tc>
          <w:tcPr>
            <w:tcW w:w="1701" w:type="dxa"/>
            <w:noWrap/>
            <w:hideMark/>
          </w:tcPr>
          <w:p w14:paraId="3284F427" w14:textId="77777777" w:rsidR="007A49FD" w:rsidRPr="00222503"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222503">
              <w:rPr>
                <w:rFonts w:ascii="Calibri" w:eastAsia="Times New Roman" w:hAnsi="Calibri" w:cs="Calibri"/>
                <w:color w:val="000000"/>
                <w:kern w:val="0"/>
                <w:sz w:val="18"/>
                <w:szCs w:val="18"/>
                <w14:ligatures w14:val="none"/>
              </w:rPr>
              <w:t>40.7 (38.9–42.3)</w:t>
            </w:r>
          </w:p>
        </w:tc>
      </w:tr>
      <w:tr w:rsidR="007A49FD" w:rsidRPr="00E251FB" w14:paraId="77291C43"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1225266F"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087-mft-ASAQ-DHAPPQ-ASPY75</w:t>
            </w:r>
          </w:p>
        </w:tc>
        <w:tc>
          <w:tcPr>
            <w:tcW w:w="992" w:type="dxa"/>
            <w:noWrap/>
            <w:hideMark/>
          </w:tcPr>
          <w:p w14:paraId="36401FFB"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5517A7BD"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7,345 (6,639–8,121)</w:t>
            </w:r>
          </w:p>
        </w:tc>
        <w:tc>
          <w:tcPr>
            <w:tcW w:w="1701" w:type="dxa"/>
            <w:noWrap/>
            <w:hideMark/>
          </w:tcPr>
          <w:p w14:paraId="078AE969" w14:textId="77777777" w:rsidR="007A49FD" w:rsidRPr="00222503"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222503">
              <w:rPr>
                <w:rFonts w:ascii="Calibri" w:eastAsia="Times New Roman" w:hAnsi="Calibri" w:cs="Calibri"/>
                <w:color w:val="000000"/>
                <w:kern w:val="0"/>
                <w:sz w:val="18"/>
                <w:szCs w:val="18"/>
                <w14:ligatures w14:val="none"/>
              </w:rPr>
              <w:t>72.9 (70.1–75.5)</w:t>
            </w:r>
          </w:p>
        </w:tc>
      </w:tr>
      <w:tr w:rsidR="007A49FD" w:rsidRPr="00E251FB" w14:paraId="039FE28E"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F2E1C3D"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088-mft-ASAQ-DHAPPQ-ASPY65</w:t>
            </w:r>
          </w:p>
        </w:tc>
        <w:tc>
          <w:tcPr>
            <w:tcW w:w="992" w:type="dxa"/>
            <w:noWrap/>
            <w:hideMark/>
          </w:tcPr>
          <w:p w14:paraId="26FE5190"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058BCF77"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27,739 (27,062–28,724)</w:t>
            </w:r>
          </w:p>
        </w:tc>
        <w:tc>
          <w:tcPr>
            <w:tcW w:w="1701" w:type="dxa"/>
            <w:noWrap/>
            <w:hideMark/>
          </w:tcPr>
          <w:p w14:paraId="5FA2CD03"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40.7 (38.6–42.1)</w:t>
            </w:r>
          </w:p>
        </w:tc>
      </w:tr>
      <w:tr w:rsidR="007A49FD" w:rsidRPr="00E251FB" w14:paraId="0BFCE79B"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27C31BBB"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088-mft-ASAQ-DHAPPQ-ASPY65</w:t>
            </w:r>
          </w:p>
        </w:tc>
        <w:tc>
          <w:tcPr>
            <w:tcW w:w="992" w:type="dxa"/>
            <w:noWrap/>
            <w:hideMark/>
          </w:tcPr>
          <w:p w14:paraId="030BACFA"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71F7B6B4"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7,410 (6,718–8,009)</w:t>
            </w:r>
          </w:p>
        </w:tc>
        <w:tc>
          <w:tcPr>
            <w:tcW w:w="1701" w:type="dxa"/>
            <w:noWrap/>
            <w:hideMark/>
          </w:tcPr>
          <w:p w14:paraId="472906F6"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72.7 (70.5–75.2)</w:t>
            </w:r>
          </w:p>
        </w:tc>
      </w:tr>
      <w:tr w:rsidR="007A49FD" w:rsidRPr="00E251FB" w14:paraId="7CC55751"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04DEFCB"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089-mft-AL-ASAQ-DHAPPQ-ASPY85</w:t>
            </w:r>
          </w:p>
        </w:tc>
        <w:tc>
          <w:tcPr>
            <w:tcW w:w="992" w:type="dxa"/>
            <w:noWrap/>
            <w:hideMark/>
          </w:tcPr>
          <w:p w14:paraId="48F4E0FD"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7568241F"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31,654 (30,701–32,700)</w:t>
            </w:r>
          </w:p>
        </w:tc>
        <w:tc>
          <w:tcPr>
            <w:tcW w:w="1701" w:type="dxa"/>
            <w:noWrap/>
            <w:hideMark/>
          </w:tcPr>
          <w:p w14:paraId="373EBC2A"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32.3 (30.1–34.4)</w:t>
            </w:r>
          </w:p>
        </w:tc>
      </w:tr>
      <w:tr w:rsidR="007A49FD" w:rsidRPr="00E251FB" w14:paraId="4DC81D68"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9B3CA3E"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089-mft-AL-ASAQ-DHAPPQ-ASPY85</w:t>
            </w:r>
          </w:p>
        </w:tc>
        <w:tc>
          <w:tcPr>
            <w:tcW w:w="992" w:type="dxa"/>
            <w:noWrap/>
            <w:hideMark/>
          </w:tcPr>
          <w:p w14:paraId="4162841D"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7B733355"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10,164 (9,070–11,789)</w:t>
            </w:r>
          </w:p>
        </w:tc>
        <w:tc>
          <w:tcPr>
            <w:tcW w:w="1701" w:type="dxa"/>
            <w:noWrap/>
            <w:hideMark/>
          </w:tcPr>
          <w:p w14:paraId="0D854C2D"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62.6 (56.6–66.6)</w:t>
            </w:r>
          </w:p>
        </w:tc>
      </w:tr>
      <w:tr w:rsidR="007A49FD" w:rsidRPr="00E251FB" w14:paraId="153811E3"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111D0E6D"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090-mft-AL-ASAQ-DHAPPQ-ASPY75</w:t>
            </w:r>
          </w:p>
        </w:tc>
        <w:tc>
          <w:tcPr>
            <w:tcW w:w="992" w:type="dxa"/>
            <w:noWrap/>
            <w:hideMark/>
          </w:tcPr>
          <w:p w14:paraId="22BF37CD"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1CCC82E6"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31,669 (30,731–33,059)</w:t>
            </w:r>
          </w:p>
        </w:tc>
        <w:tc>
          <w:tcPr>
            <w:tcW w:w="1701" w:type="dxa"/>
            <w:noWrap/>
            <w:hideMark/>
          </w:tcPr>
          <w:p w14:paraId="6CC679B5"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32.3 (29.3–34.3)</w:t>
            </w:r>
          </w:p>
        </w:tc>
      </w:tr>
      <w:tr w:rsidR="007A49FD" w:rsidRPr="00E251FB" w14:paraId="0CD090A9"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2312F1FB"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090-mft-AL-ASAQ-DHAPPQ-ASPY75</w:t>
            </w:r>
          </w:p>
        </w:tc>
        <w:tc>
          <w:tcPr>
            <w:tcW w:w="992" w:type="dxa"/>
            <w:noWrap/>
            <w:hideMark/>
          </w:tcPr>
          <w:p w14:paraId="28D9ECB9"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4B5B3412"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10,192 (9,052–11,726)</w:t>
            </w:r>
          </w:p>
        </w:tc>
        <w:tc>
          <w:tcPr>
            <w:tcW w:w="1701" w:type="dxa"/>
            <w:noWrap/>
            <w:hideMark/>
          </w:tcPr>
          <w:p w14:paraId="04E97F98"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62.4 (56.8–66.6)</w:t>
            </w:r>
          </w:p>
        </w:tc>
      </w:tr>
      <w:tr w:rsidR="007A49FD" w:rsidRPr="00E251FB" w14:paraId="19C73113"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84A5DD7"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091-mft-AL-ASAQ-DHAPPQ-ASPY65</w:t>
            </w:r>
          </w:p>
        </w:tc>
        <w:tc>
          <w:tcPr>
            <w:tcW w:w="992" w:type="dxa"/>
            <w:noWrap/>
            <w:hideMark/>
          </w:tcPr>
          <w:p w14:paraId="17FECEA9"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254ADCCC"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31,805 (30,820–32,886)</w:t>
            </w:r>
          </w:p>
        </w:tc>
        <w:tc>
          <w:tcPr>
            <w:tcW w:w="1701" w:type="dxa"/>
            <w:noWrap/>
            <w:hideMark/>
          </w:tcPr>
          <w:p w14:paraId="440548D0"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32.0 (29.7–34.1)</w:t>
            </w:r>
          </w:p>
        </w:tc>
      </w:tr>
      <w:tr w:rsidR="007A49FD" w:rsidRPr="00E251FB" w14:paraId="5EAD6FC6"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9B273C2"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091-mft-AL-ASAQ-DHAPPQ-ASPY65</w:t>
            </w:r>
          </w:p>
        </w:tc>
        <w:tc>
          <w:tcPr>
            <w:tcW w:w="992" w:type="dxa"/>
            <w:noWrap/>
            <w:hideMark/>
          </w:tcPr>
          <w:p w14:paraId="1E0F8264"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5409F08C"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10,145 (9,145–11,922)</w:t>
            </w:r>
          </w:p>
        </w:tc>
        <w:tc>
          <w:tcPr>
            <w:tcW w:w="1701" w:type="dxa"/>
            <w:noWrap/>
            <w:hideMark/>
          </w:tcPr>
          <w:p w14:paraId="1C5E09D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62.6 (56.1–66.3)</w:t>
            </w:r>
          </w:p>
        </w:tc>
      </w:tr>
      <w:tr w:rsidR="007A49FD" w:rsidRPr="00E251FB" w14:paraId="1669B863"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EA5EEDF"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093-region-specific-Kagera-ASAQ-Others-ASAQ-Delay-1y</w:t>
            </w:r>
          </w:p>
        </w:tc>
        <w:tc>
          <w:tcPr>
            <w:tcW w:w="992" w:type="dxa"/>
            <w:noWrap/>
            <w:hideMark/>
          </w:tcPr>
          <w:p w14:paraId="7EC9C915"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1E34364C"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29,198 (28,529–30,184)</w:t>
            </w:r>
          </w:p>
        </w:tc>
        <w:tc>
          <w:tcPr>
            <w:tcW w:w="1701" w:type="dxa"/>
            <w:noWrap/>
            <w:hideMark/>
          </w:tcPr>
          <w:p w14:paraId="5413CB43"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37.6 (35.5–39.0)</w:t>
            </w:r>
          </w:p>
        </w:tc>
      </w:tr>
      <w:tr w:rsidR="007A49FD" w:rsidRPr="00E251FB" w14:paraId="5150A4FC"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70D368C8"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093-region-specific-Kagera-ASAQ-Others-ASAQ-Delay-1y</w:t>
            </w:r>
          </w:p>
        </w:tc>
        <w:tc>
          <w:tcPr>
            <w:tcW w:w="992" w:type="dxa"/>
            <w:noWrap/>
            <w:hideMark/>
          </w:tcPr>
          <w:p w14:paraId="7967B10C"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1A0004E2"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8,847 (7,982–10,081)</w:t>
            </w:r>
          </w:p>
        </w:tc>
        <w:tc>
          <w:tcPr>
            <w:tcW w:w="1701" w:type="dxa"/>
            <w:noWrap/>
            <w:hideMark/>
          </w:tcPr>
          <w:p w14:paraId="0DC81EC2"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67.4 (62.9–70.6)</w:t>
            </w:r>
          </w:p>
        </w:tc>
      </w:tr>
      <w:tr w:rsidR="007A49FD" w:rsidRPr="00E251FB" w14:paraId="6A040798"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1DD62D58"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094-region-specific-Kagera-ASAQ-Others-ASAQ-Delay-2y</w:t>
            </w:r>
          </w:p>
        </w:tc>
        <w:tc>
          <w:tcPr>
            <w:tcW w:w="992" w:type="dxa"/>
            <w:noWrap/>
            <w:hideMark/>
          </w:tcPr>
          <w:p w14:paraId="3C963B9F"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6A7A1482"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31,035 (30,362–32,139)</w:t>
            </w:r>
          </w:p>
        </w:tc>
        <w:tc>
          <w:tcPr>
            <w:tcW w:w="1701" w:type="dxa"/>
            <w:noWrap/>
            <w:hideMark/>
          </w:tcPr>
          <w:p w14:paraId="68719F95"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33.6 (31.3–35.1)</w:t>
            </w:r>
          </w:p>
        </w:tc>
      </w:tr>
      <w:tr w:rsidR="007A49FD" w:rsidRPr="00E251FB" w14:paraId="112B1859"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7A444B6"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094-region-specific-Kagera-ASAQ-Others-ASAQ-Delay-2y</w:t>
            </w:r>
          </w:p>
        </w:tc>
        <w:tc>
          <w:tcPr>
            <w:tcW w:w="992" w:type="dxa"/>
            <w:noWrap/>
            <w:hideMark/>
          </w:tcPr>
          <w:p w14:paraId="33ECC293"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1CF14DA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10,542 (9,433–12,447)</w:t>
            </w:r>
          </w:p>
        </w:tc>
        <w:tc>
          <w:tcPr>
            <w:tcW w:w="1701" w:type="dxa"/>
            <w:noWrap/>
            <w:hideMark/>
          </w:tcPr>
          <w:p w14:paraId="703DE29A"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61.2 (54.1–65.2)</w:t>
            </w:r>
          </w:p>
        </w:tc>
      </w:tr>
      <w:tr w:rsidR="007A49FD" w:rsidRPr="00E251FB" w14:paraId="2FCF8869"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3D51BF1C"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lastRenderedPageBreak/>
              <w:t>095-region-specific-Kagera-DHAPPQ-Others-ASAQ-Delay-0y</w:t>
            </w:r>
          </w:p>
        </w:tc>
        <w:tc>
          <w:tcPr>
            <w:tcW w:w="992" w:type="dxa"/>
            <w:noWrap/>
            <w:hideMark/>
          </w:tcPr>
          <w:p w14:paraId="041D7888"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79A5A756"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30,484 (29,820–31,386)</w:t>
            </w:r>
          </w:p>
        </w:tc>
        <w:tc>
          <w:tcPr>
            <w:tcW w:w="1701" w:type="dxa"/>
            <w:noWrap/>
            <w:hideMark/>
          </w:tcPr>
          <w:p w14:paraId="63117557"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34.8 (32.9–36.2)</w:t>
            </w:r>
          </w:p>
        </w:tc>
      </w:tr>
      <w:tr w:rsidR="007A49FD" w:rsidRPr="00E251FB" w14:paraId="65591DA2"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47B0FD02"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095-region-specific-Kagera-DHAPPQ-Others-ASAQ-Delay-0y</w:t>
            </w:r>
          </w:p>
        </w:tc>
        <w:tc>
          <w:tcPr>
            <w:tcW w:w="992" w:type="dxa"/>
            <w:noWrap/>
            <w:hideMark/>
          </w:tcPr>
          <w:p w14:paraId="6BE71FE6"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1CBFA328"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10,693 (9,241–12,250)</w:t>
            </w:r>
          </w:p>
        </w:tc>
        <w:tc>
          <w:tcPr>
            <w:tcW w:w="1701" w:type="dxa"/>
            <w:noWrap/>
            <w:hideMark/>
          </w:tcPr>
          <w:p w14:paraId="7EE2FEE2"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60.6 (54.9–66.0)</w:t>
            </w:r>
          </w:p>
        </w:tc>
      </w:tr>
      <w:tr w:rsidR="007A49FD" w:rsidRPr="00E251FB" w14:paraId="77057669"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26D2C185"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096-region-specific-Kagera-DHAPPQ-Others-ASAQ-Delay-1y</w:t>
            </w:r>
          </w:p>
        </w:tc>
        <w:tc>
          <w:tcPr>
            <w:tcW w:w="992" w:type="dxa"/>
            <w:noWrap/>
            <w:hideMark/>
          </w:tcPr>
          <w:p w14:paraId="7E56D3D8"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6409FF13"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32,133 (31,216–33,138)</w:t>
            </w:r>
          </w:p>
        </w:tc>
        <w:tc>
          <w:tcPr>
            <w:tcW w:w="1701" w:type="dxa"/>
            <w:noWrap/>
            <w:hideMark/>
          </w:tcPr>
          <w:p w14:paraId="6E8B749C"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31.3 (29.1–33.3)</w:t>
            </w:r>
          </w:p>
        </w:tc>
      </w:tr>
      <w:tr w:rsidR="007A49FD" w:rsidRPr="00E251FB" w14:paraId="398057A4"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279C9002"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096-region-specific-Kagera-DHAPPQ-Others-ASAQ-Delay-1y</w:t>
            </w:r>
          </w:p>
        </w:tc>
        <w:tc>
          <w:tcPr>
            <w:tcW w:w="992" w:type="dxa"/>
            <w:noWrap/>
            <w:hideMark/>
          </w:tcPr>
          <w:p w14:paraId="3C4D6BED"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01323CB7"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12,067 (10,790–14,303)</w:t>
            </w:r>
          </w:p>
        </w:tc>
        <w:tc>
          <w:tcPr>
            <w:tcW w:w="1701" w:type="dxa"/>
            <w:noWrap/>
            <w:hideMark/>
          </w:tcPr>
          <w:p w14:paraId="7F4FF53E"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55.5 (47.3–60.2)</w:t>
            </w:r>
          </w:p>
        </w:tc>
      </w:tr>
      <w:tr w:rsidR="007A49FD" w:rsidRPr="00E251FB" w14:paraId="776FC525"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BAF0739"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097-region-specific-Kagera-DHAPPQ-Others-ASAQ-Delay-2y</w:t>
            </w:r>
          </w:p>
        </w:tc>
        <w:tc>
          <w:tcPr>
            <w:tcW w:w="992" w:type="dxa"/>
            <w:noWrap/>
            <w:hideMark/>
          </w:tcPr>
          <w:p w14:paraId="54B4C49C"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35E789A3"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34,124 (33,159–35,154)</w:t>
            </w:r>
          </w:p>
        </w:tc>
        <w:tc>
          <w:tcPr>
            <w:tcW w:w="1701" w:type="dxa"/>
            <w:noWrap/>
            <w:hideMark/>
          </w:tcPr>
          <w:p w14:paraId="0E97FA73"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27.0 (24.8–29.1)</w:t>
            </w:r>
          </w:p>
        </w:tc>
      </w:tr>
      <w:tr w:rsidR="007A49FD" w:rsidRPr="00E251FB" w14:paraId="11B13165"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15EB2590"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097-region-specific-Kagera-DHAPPQ-Others-ASAQ-Delay-2y</w:t>
            </w:r>
          </w:p>
        </w:tc>
        <w:tc>
          <w:tcPr>
            <w:tcW w:w="992" w:type="dxa"/>
            <w:noWrap/>
            <w:hideMark/>
          </w:tcPr>
          <w:p w14:paraId="790CC838"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7A6A1469"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13,827 (12,198–16,884)</w:t>
            </w:r>
          </w:p>
        </w:tc>
        <w:tc>
          <w:tcPr>
            <w:tcW w:w="1701" w:type="dxa"/>
            <w:noWrap/>
            <w:hideMark/>
          </w:tcPr>
          <w:p w14:paraId="529DFAF4"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49.1 (37.8–55.1)</w:t>
            </w:r>
          </w:p>
        </w:tc>
      </w:tr>
      <w:tr w:rsidR="007A49FD" w:rsidRPr="00E251FB" w14:paraId="625698B9"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55C09F7F"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098-Delay-ASAQ-1y</w:t>
            </w:r>
          </w:p>
        </w:tc>
        <w:tc>
          <w:tcPr>
            <w:tcW w:w="992" w:type="dxa"/>
            <w:noWrap/>
            <w:hideMark/>
          </w:tcPr>
          <w:p w14:paraId="59B3A0A1"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5B2623FE"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30,041 (29,382–31,079)</w:t>
            </w:r>
          </w:p>
        </w:tc>
        <w:tc>
          <w:tcPr>
            <w:tcW w:w="1701" w:type="dxa"/>
            <w:noWrap/>
            <w:hideMark/>
          </w:tcPr>
          <w:p w14:paraId="613FA981"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35.8 (33.5–37.2)</w:t>
            </w:r>
          </w:p>
        </w:tc>
      </w:tr>
      <w:tr w:rsidR="007A49FD" w:rsidRPr="00E251FB" w14:paraId="07166561"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2F2DC966"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098-Delay-ASAQ-1y</w:t>
            </w:r>
          </w:p>
        </w:tc>
        <w:tc>
          <w:tcPr>
            <w:tcW w:w="992" w:type="dxa"/>
            <w:noWrap/>
            <w:hideMark/>
          </w:tcPr>
          <w:p w14:paraId="0A941FE1"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6F97BBB3"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9,429 (8,600–10,868)</w:t>
            </w:r>
          </w:p>
        </w:tc>
        <w:tc>
          <w:tcPr>
            <w:tcW w:w="1701" w:type="dxa"/>
            <w:noWrap/>
            <w:hideMark/>
          </w:tcPr>
          <w:p w14:paraId="2B08AE60"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65.3 (60.0–68.3)</w:t>
            </w:r>
          </w:p>
        </w:tc>
      </w:tr>
      <w:tr w:rsidR="007A49FD" w:rsidRPr="00E251FB" w14:paraId="0364B32A"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13BFF2D"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099-Delay-ASAQ-2y</w:t>
            </w:r>
          </w:p>
        </w:tc>
        <w:tc>
          <w:tcPr>
            <w:tcW w:w="992" w:type="dxa"/>
            <w:noWrap/>
            <w:hideMark/>
          </w:tcPr>
          <w:p w14:paraId="75B91904"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5901AD15"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32,617 (31,640–33,853)</w:t>
            </w:r>
          </w:p>
        </w:tc>
        <w:tc>
          <w:tcPr>
            <w:tcW w:w="1701" w:type="dxa"/>
            <w:noWrap/>
            <w:hideMark/>
          </w:tcPr>
          <w:p w14:paraId="3059E2F6"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30.3 (27.6–32.3)</w:t>
            </w:r>
          </w:p>
        </w:tc>
      </w:tr>
      <w:tr w:rsidR="007A49FD" w:rsidRPr="00E251FB" w14:paraId="4A2BC197"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493A03C9"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099-Delay-ASAQ-2y</w:t>
            </w:r>
          </w:p>
        </w:tc>
        <w:tc>
          <w:tcPr>
            <w:tcW w:w="992" w:type="dxa"/>
            <w:noWrap/>
            <w:hideMark/>
          </w:tcPr>
          <w:p w14:paraId="51B01255"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6ABC1853"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11,671 (10,369–13,642)</w:t>
            </w:r>
          </w:p>
        </w:tc>
        <w:tc>
          <w:tcPr>
            <w:tcW w:w="1701" w:type="dxa"/>
            <w:noWrap/>
            <w:hideMark/>
          </w:tcPr>
          <w:p w14:paraId="4CFE1300"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57.0 (49.7–61.8)</w:t>
            </w:r>
          </w:p>
        </w:tc>
      </w:tr>
      <w:tr w:rsidR="007A49FD" w:rsidRPr="00E251FB" w14:paraId="269BFD1D"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0BAE887D"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100-Delay-ASAQ-3y</w:t>
            </w:r>
          </w:p>
        </w:tc>
        <w:tc>
          <w:tcPr>
            <w:tcW w:w="992" w:type="dxa"/>
            <w:noWrap/>
            <w:hideMark/>
          </w:tcPr>
          <w:p w14:paraId="41B6D397"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1DE019D4"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35,646 (34,610–37,104)</w:t>
            </w:r>
          </w:p>
        </w:tc>
        <w:tc>
          <w:tcPr>
            <w:tcW w:w="1701" w:type="dxa"/>
            <w:noWrap/>
            <w:hideMark/>
          </w:tcPr>
          <w:p w14:paraId="394BA8EA"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23.8 (20.7–26.0)</w:t>
            </w:r>
          </w:p>
        </w:tc>
      </w:tr>
      <w:tr w:rsidR="007A49FD" w:rsidRPr="00E251FB" w14:paraId="094AF216"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494A0EC9"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100-Delay-ASAQ-3y</w:t>
            </w:r>
          </w:p>
        </w:tc>
        <w:tc>
          <w:tcPr>
            <w:tcW w:w="992" w:type="dxa"/>
            <w:noWrap/>
            <w:hideMark/>
          </w:tcPr>
          <w:p w14:paraId="39261946"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05A46D9F"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14,733 (12,951–17,783)</w:t>
            </w:r>
          </w:p>
        </w:tc>
        <w:tc>
          <w:tcPr>
            <w:tcW w:w="1701" w:type="dxa"/>
            <w:noWrap/>
            <w:hideMark/>
          </w:tcPr>
          <w:p w14:paraId="100E226A"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45.7 (34.5–52.3)</w:t>
            </w:r>
          </w:p>
        </w:tc>
      </w:tr>
      <w:tr w:rsidR="007A49FD" w:rsidRPr="00E251FB" w14:paraId="047082B0" w14:textId="77777777" w:rsidTr="00E25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1B35E49A"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101-Delay-ASAQ-4y</w:t>
            </w:r>
          </w:p>
        </w:tc>
        <w:tc>
          <w:tcPr>
            <w:tcW w:w="992" w:type="dxa"/>
            <w:noWrap/>
            <w:hideMark/>
          </w:tcPr>
          <w:p w14:paraId="7D8F9AAB"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47%</w:t>
            </w:r>
          </w:p>
        </w:tc>
        <w:tc>
          <w:tcPr>
            <w:tcW w:w="2268" w:type="dxa"/>
            <w:noWrap/>
            <w:hideMark/>
          </w:tcPr>
          <w:p w14:paraId="092D9134"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39,229 (37,843–41,066)</w:t>
            </w:r>
          </w:p>
        </w:tc>
        <w:tc>
          <w:tcPr>
            <w:tcW w:w="1701" w:type="dxa"/>
            <w:noWrap/>
            <w:hideMark/>
          </w:tcPr>
          <w:p w14:paraId="34282DC4" w14:textId="77777777" w:rsidR="007A49FD" w:rsidRPr="00E251FB" w:rsidRDefault="007A49FD" w:rsidP="00E251FB">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16.1 (12.2–19.1)</w:t>
            </w:r>
          </w:p>
        </w:tc>
      </w:tr>
      <w:tr w:rsidR="007A49FD" w:rsidRPr="00E251FB" w14:paraId="3969A95E" w14:textId="77777777" w:rsidTr="00E251FB">
        <w:trPr>
          <w:trHeight w:val="300"/>
        </w:trPr>
        <w:tc>
          <w:tcPr>
            <w:cnfStyle w:val="001000000000" w:firstRow="0" w:lastRow="0" w:firstColumn="1" w:lastColumn="0" w:oddVBand="0" w:evenVBand="0" w:oddHBand="0" w:evenHBand="0" w:firstRowFirstColumn="0" w:firstRowLastColumn="0" w:lastRowFirstColumn="0" w:lastRowLastColumn="0"/>
            <w:tcW w:w="4673" w:type="dxa"/>
            <w:noWrap/>
            <w:hideMark/>
          </w:tcPr>
          <w:p w14:paraId="6B523C2D" w14:textId="77777777" w:rsidR="007A49FD" w:rsidRPr="00E251FB" w:rsidRDefault="007A49FD" w:rsidP="00E251FB">
            <w:pPr>
              <w:spacing w:line="240" w:lineRule="auto"/>
              <w:jc w:val="left"/>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101-Delay-ASAQ-4y</w:t>
            </w:r>
          </w:p>
        </w:tc>
        <w:tc>
          <w:tcPr>
            <w:tcW w:w="992" w:type="dxa"/>
            <w:noWrap/>
            <w:hideMark/>
          </w:tcPr>
          <w:p w14:paraId="4CDB8AED"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10%</w:t>
            </w:r>
          </w:p>
        </w:tc>
        <w:tc>
          <w:tcPr>
            <w:tcW w:w="2268" w:type="dxa"/>
            <w:noWrap/>
            <w:hideMark/>
          </w:tcPr>
          <w:p w14:paraId="1D6D7440"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18,371 (15,870–25,950)</w:t>
            </w:r>
          </w:p>
        </w:tc>
        <w:tc>
          <w:tcPr>
            <w:tcW w:w="1701" w:type="dxa"/>
            <w:noWrap/>
            <w:hideMark/>
          </w:tcPr>
          <w:p w14:paraId="0B11800A" w14:textId="77777777" w:rsidR="007A49FD" w:rsidRPr="00E251FB" w:rsidRDefault="007A49FD" w:rsidP="00E251FB">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8"/>
                <w:szCs w:val="18"/>
                <w14:ligatures w14:val="none"/>
              </w:rPr>
            </w:pPr>
            <w:r w:rsidRPr="00E251FB">
              <w:rPr>
                <w:rFonts w:ascii="Calibri" w:eastAsia="Times New Roman" w:hAnsi="Calibri" w:cs="Calibri"/>
                <w:color w:val="000000"/>
                <w:kern w:val="0"/>
                <w:sz w:val="18"/>
                <w:szCs w:val="18"/>
                <w14:ligatures w14:val="none"/>
              </w:rPr>
              <w:t>32.3 (4.4–41.5)</w:t>
            </w:r>
          </w:p>
        </w:tc>
      </w:tr>
    </w:tbl>
    <w:p w14:paraId="084BAD79" w14:textId="77777777" w:rsidR="002802BF" w:rsidRDefault="002802BF" w:rsidP="00537191">
      <w:pPr>
        <w:spacing w:after="160" w:line="278" w:lineRule="auto"/>
        <w:rPr>
          <w:b/>
          <w:bCs/>
          <w:sz w:val="18"/>
          <w:szCs w:val="18"/>
        </w:rPr>
      </w:pPr>
    </w:p>
    <w:p w14:paraId="5A125E75" w14:textId="7710D5CE" w:rsidR="003C7939" w:rsidRPr="002802BF" w:rsidRDefault="002802BF" w:rsidP="00537191">
      <w:pPr>
        <w:spacing w:after="160" w:line="278" w:lineRule="auto"/>
        <w:rPr>
          <w:sz w:val="18"/>
          <w:szCs w:val="18"/>
        </w:rPr>
      </w:pPr>
      <w:r w:rsidRPr="002802BF">
        <w:rPr>
          <w:b/>
          <w:bCs/>
          <w:sz w:val="18"/>
          <w:szCs w:val="18"/>
        </w:rPr>
        <w:t xml:space="preserve">Supplementary Table </w:t>
      </w:r>
      <w:r w:rsidR="00482C03">
        <w:rPr>
          <w:b/>
          <w:bCs/>
          <w:sz w:val="18"/>
          <w:szCs w:val="18"/>
        </w:rPr>
        <w:t>1</w:t>
      </w:r>
      <w:r w:rsidRPr="002802BF">
        <w:rPr>
          <w:b/>
          <w:bCs/>
          <w:sz w:val="18"/>
          <w:szCs w:val="18"/>
        </w:rPr>
        <w:t>.</w:t>
      </w:r>
      <w:r w:rsidRPr="002802BF">
        <w:rPr>
          <w:sz w:val="18"/>
          <w:szCs w:val="18"/>
        </w:rPr>
        <w:t xml:space="preserve"> </w:t>
      </w:r>
      <w:r w:rsidR="00EE73D7" w:rsidRPr="00EE73D7">
        <w:rPr>
          <w:sz w:val="18"/>
          <w:szCs w:val="18"/>
        </w:rPr>
        <w:t>Projected treatment failures under alternative treatment strategies and private-market scenarios. The table summarizes treatment failures over the six-year evaluation period under the 47% and 10% private-market scenarios. For each strategy, the median monthly number of treatment failures, calculated as the six-year total divided by 72 months, and the 90% simulation interval are reported. The percentage reduction in treatment failures was calculated relative to the corresponding status quo within each private-market scenario, defined as AL first-line use under the same private-market setting. Positive values indicate fewer treatment failures relative to the corresponding status quo</w:t>
      </w:r>
      <w:r w:rsidR="00EE73D7">
        <w:rPr>
          <w:sz w:val="18"/>
          <w:szCs w:val="18"/>
        </w:rPr>
        <w:t>.</w:t>
      </w:r>
    </w:p>
    <w:p w14:paraId="61259C02" w14:textId="77777777" w:rsidR="00537191" w:rsidRDefault="00537191" w:rsidP="00537191">
      <w:pPr>
        <w:spacing w:after="160" w:line="278" w:lineRule="auto"/>
        <w:rPr>
          <w:rFonts w:eastAsia="Times New Roman" w:cs="Times New Roman"/>
          <w:b/>
          <w:bCs/>
          <w:kern w:val="0"/>
          <w:sz w:val="27"/>
          <w:szCs w:val="27"/>
          <w14:ligatures w14:val="none"/>
        </w:rPr>
      </w:pPr>
    </w:p>
    <w:p w14:paraId="7ADED329" w14:textId="77777777" w:rsidR="00537191" w:rsidRDefault="00537191" w:rsidP="00537191">
      <w:pPr>
        <w:spacing w:after="160" w:line="278" w:lineRule="auto"/>
        <w:rPr>
          <w:rFonts w:eastAsia="Times New Roman" w:cs="Times New Roman"/>
          <w:b/>
          <w:bCs/>
          <w:kern w:val="0"/>
          <w14:ligatures w14:val="none"/>
        </w:rPr>
      </w:pPr>
      <w:r>
        <w:rPr>
          <w:rFonts w:eastAsia="Times New Roman" w:cs="Times New Roman"/>
          <w:b/>
          <w:bCs/>
          <w:kern w:val="0"/>
          <w14:ligatures w14:val="none"/>
        </w:rPr>
        <w:br w:type="page"/>
      </w:r>
    </w:p>
    <w:p w14:paraId="5157D550" w14:textId="77777777" w:rsidR="00537191" w:rsidRDefault="00537191" w:rsidP="00537191">
      <w:pPr>
        <w:spacing w:after="160" w:line="278" w:lineRule="auto"/>
        <w:rPr>
          <w:rFonts w:eastAsia="Times New Roman" w:cs="Times New Roman"/>
          <w:b/>
          <w:bCs/>
          <w:kern w:val="0"/>
          <w14:ligatures w14:val="none"/>
        </w:rPr>
      </w:pPr>
      <w:r w:rsidRPr="003D2208">
        <w:rPr>
          <w:rFonts w:eastAsia="Times New Roman" w:cs="Times New Roman"/>
          <w:b/>
          <w:bCs/>
          <w:kern w:val="0"/>
          <w14:ligatures w14:val="none"/>
        </w:rPr>
        <w:lastRenderedPageBreak/>
        <w:t>References</w:t>
      </w:r>
    </w:p>
    <w:p w14:paraId="0C9127A4" w14:textId="77777777" w:rsidR="00A77C8E" w:rsidRPr="00A77C8E" w:rsidRDefault="00E734D0" w:rsidP="00A77C8E">
      <w:pPr>
        <w:pStyle w:val="Bibliography"/>
      </w:pPr>
      <w:r>
        <w:fldChar w:fldCharType="begin"/>
      </w:r>
      <w:r w:rsidR="00A77C8E">
        <w:instrText xml:space="preserve"> ADDIN ZOTERO_BIBL {"uncited":[],"omitted":[],"custom":[]} CSL_BIBLIOGRAPHY </w:instrText>
      </w:r>
      <w:r>
        <w:fldChar w:fldCharType="separate"/>
      </w:r>
      <w:r w:rsidR="00A77C8E" w:rsidRPr="00A77C8E">
        <w:t>1.</w:t>
      </w:r>
      <w:r w:rsidR="00A77C8E" w:rsidRPr="00A77C8E">
        <w:tab/>
        <w:t>USAID. DHS Program, Spatial Data Repository - Boundaries [Internet]. 2026. Available from: https://spatialdata.dhsprogram.com/boundaries/#countryId=TZ&amp;view=table</w:t>
      </w:r>
    </w:p>
    <w:p w14:paraId="37AA658B" w14:textId="77777777" w:rsidR="00A77C8E" w:rsidRPr="00A77C8E" w:rsidRDefault="00A77C8E" w:rsidP="00A77C8E">
      <w:pPr>
        <w:pStyle w:val="Bibliography"/>
      </w:pPr>
      <w:r w:rsidRPr="00A77C8E">
        <w:t>2.</w:t>
      </w:r>
      <w:r w:rsidRPr="00A77C8E">
        <w:tab/>
        <w:t>National Bureau of Statistics - NBS/Tanzania, ORC Macro. Tanzania Demographic and Health Survey 2004-2005 [Internet]. Dar es Salaam, Tanzania: NBS/Tanzania and ORC Macro; 2005. Available from: http://dhsprogram.com/pubs/pdf/FR173/FR173.pdf</w:t>
      </w:r>
    </w:p>
    <w:p w14:paraId="1F064A5C" w14:textId="77777777" w:rsidR="00A77C8E" w:rsidRPr="00A77C8E" w:rsidRDefault="00A77C8E" w:rsidP="00A77C8E">
      <w:pPr>
        <w:pStyle w:val="Bibliography"/>
      </w:pPr>
      <w:r w:rsidRPr="00A77C8E">
        <w:t>3.</w:t>
      </w:r>
      <w:r w:rsidRPr="00A77C8E">
        <w:tab/>
        <w:t>National Bureau of Statistics - NBS/Tanzania, ICF Macro. Tanzania Demographic and Health Survey 2010 [Internet]. Dar es Salaam, Tanzania: NBS/Tanzania and ICF Macro; 2011. Available from: http://dhsprogram.com/pubs/pdf/FR243/FR243.pdf</w:t>
      </w:r>
    </w:p>
    <w:p w14:paraId="4F5F5C20" w14:textId="77777777" w:rsidR="00A77C8E" w:rsidRPr="00A77C8E" w:rsidRDefault="00A77C8E" w:rsidP="00A77C8E">
      <w:pPr>
        <w:pStyle w:val="Bibliography"/>
      </w:pPr>
      <w:r w:rsidRPr="00A77C8E">
        <w:t>4.</w:t>
      </w:r>
      <w:r w:rsidRPr="00A77C8E">
        <w:tab/>
        <w:t>Ministry of Health CD Gender, Elderly and Children MoHCDGEC/Tanzania Mainland, Ministry of Health - MoH/Zanzibar, National Bureau of Statistics - NBS/Tanzania, Office of Chief Government Statistician - OCGS/Zanzibar, ICF. Tanzania Demographic and Health Survey and Malaria Indicator Survey 2015-2016 [Internet]. Dar es Salaam, Tanzania: MoHCDGEC, MoH, NBS, OCGS, and ICF; 2016. Available from: http://dhsprogram.com/pubs/pdf/FR321/FR321.pdf</w:t>
      </w:r>
    </w:p>
    <w:p w14:paraId="185E1404" w14:textId="77777777" w:rsidR="00A77C8E" w:rsidRPr="00A77C8E" w:rsidRDefault="00A77C8E" w:rsidP="00A77C8E">
      <w:pPr>
        <w:pStyle w:val="Bibliography"/>
      </w:pPr>
      <w:r w:rsidRPr="00A77C8E">
        <w:t>5.</w:t>
      </w:r>
      <w:r w:rsidRPr="00A77C8E">
        <w:tab/>
        <w:t>Ministry of Health/Tanzania Mainland, Ministry of Health/Zanzibar, National Bureau of Statistics - NBS/Tanzania, Office of the Chief Government Statistician - OCGS/Tanzania, ICF. Tanzania Demographic and Health Survey and Malaria Indicator Survey 2022 Final Report [Internet]. Dodoma, Tanzania, and Rockville, Maryland, USA: MoH, NBS, OCGS, and ICF; 2023. Available from: https://www.dhsprogram.com/pubs/pdf/FR382/FR382.pdf</w:t>
      </w:r>
    </w:p>
    <w:p w14:paraId="6C328F81" w14:textId="77777777" w:rsidR="00A77C8E" w:rsidRPr="00A77C8E" w:rsidRDefault="00A77C8E" w:rsidP="00A77C8E">
      <w:pPr>
        <w:pStyle w:val="Bibliography"/>
      </w:pPr>
      <w:r w:rsidRPr="00A77C8E">
        <w:t>6.</w:t>
      </w:r>
      <w:r w:rsidRPr="00A77C8E">
        <w:tab/>
        <w:t>Kamugisha E, Jing S, Minde M, Kataraihya J, Kongola G, Kironde F, et al. Efficacy of artemether-lumefantrine in treatment of malaria among under-fives and prevalence of drug resistance markers in Igombe-Mwanza, north-western Tanzania. Malar J. 2012 Dec;11(1):58. doi:10.1186/1475-2875-11-58</w:t>
      </w:r>
    </w:p>
    <w:p w14:paraId="6AB82E96" w14:textId="77777777" w:rsidR="00A77C8E" w:rsidRPr="00A77C8E" w:rsidRDefault="00A77C8E" w:rsidP="00A77C8E">
      <w:pPr>
        <w:pStyle w:val="Bibliography"/>
      </w:pPr>
      <w:r w:rsidRPr="00A77C8E">
        <w:t>7.</w:t>
      </w:r>
      <w:r w:rsidRPr="00A77C8E">
        <w:tab/>
        <w:t>Kavishe RA, Paulo P, Kaaya RD, Kalinga A, Van Zwetselaar M, Chilongola J, et al. Surveillance of artemether-lumefantrine associated Plasmodium falciparum multidrug resistance protein-1 gene polymorphisms in Tanzania. Malar J. 2014 Dec;13(1):264. doi:10.1186/1475-2875-13-264</w:t>
      </w:r>
    </w:p>
    <w:p w14:paraId="36E031E5" w14:textId="77777777" w:rsidR="00A77C8E" w:rsidRPr="00A77C8E" w:rsidRDefault="00A77C8E" w:rsidP="00A77C8E">
      <w:pPr>
        <w:pStyle w:val="Bibliography"/>
      </w:pPr>
      <w:r w:rsidRPr="00A77C8E">
        <w:t>8.</w:t>
      </w:r>
      <w:r w:rsidRPr="00A77C8E">
        <w:tab/>
        <w:t>Ishengoma DS, Mandara CI, Francis F, Talundzic E, Lucchi NW, Ngasala B, et al. Efficacy and safety of artemether-lumefantrine for the treatment of uncomplicated malaria and prevalence of Pfk13 and Pfmdr1 polymorphisms after a decade of using artemisinin-based combination therapy in mainland Tanzania. Malar J. 2019 Dec;18(1):88. doi:10.1186/s12936-019-2730-1</w:t>
      </w:r>
    </w:p>
    <w:p w14:paraId="51E6EC44" w14:textId="77777777" w:rsidR="00A77C8E" w:rsidRPr="00A77C8E" w:rsidRDefault="00A77C8E" w:rsidP="00A77C8E">
      <w:pPr>
        <w:pStyle w:val="Bibliography"/>
      </w:pPr>
      <w:r w:rsidRPr="00A77C8E">
        <w:t>9.</w:t>
      </w:r>
      <w:r w:rsidRPr="00A77C8E">
        <w:tab/>
        <w:t xml:space="preserve">Moser KA, Madebe RA, Aydemir O, Chiduo MG, Mandara CI, Rumisha SF, et al. Describing the current status of </w:t>
      </w:r>
      <w:r w:rsidRPr="00A77C8E">
        <w:rPr>
          <w:i/>
          <w:iCs/>
        </w:rPr>
        <w:t>Plasmodium falciparum</w:t>
      </w:r>
      <w:r w:rsidRPr="00A77C8E">
        <w:t xml:space="preserve"> population structure and drug resistance within mainland Tanzania using molecular inversion probes. Mol Ecol. 2021 Jan;30(1):100–13. doi:10.1111/mec.15706</w:t>
      </w:r>
    </w:p>
    <w:p w14:paraId="2302D0E2" w14:textId="77777777" w:rsidR="00A77C8E" w:rsidRPr="00A77C8E" w:rsidRDefault="00A77C8E" w:rsidP="00A77C8E">
      <w:pPr>
        <w:pStyle w:val="Bibliography"/>
      </w:pPr>
      <w:r w:rsidRPr="00A77C8E">
        <w:t>10.</w:t>
      </w:r>
      <w:r w:rsidRPr="00A77C8E">
        <w:tab/>
        <w:t xml:space="preserve">Juliano JJ, Giesbrecht DJ, Simkin A, Fola AA, Lyimo BM, Pereus D, et al. Country wide surveillance reveals prevalent artemisinin partial resistance mutations with evidence for </w:t>
      </w:r>
      <w:r w:rsidRPr="00A77C8E">
        <w:lastRenderedPageBreak/>
        <w:t>multiple origins and expansion of high level sulfadoxine-pyrimethamine resistance mutations in northwest Tanzania [Internet]. Infectious Diseases (except HIV/AIDS); 2023 [cited 2026 Sep 4]. Available from: http://medrxiv.org/lookup/doi/10.1101/2023.11.07.23298207 doi:10.1101/2023.11.07.23298207</w:t>
      </w:r>
    </w:p>
    <w:p w14:paraId="319F3CFF" w14:textId="3E144252" w:rsidR="00537191" w:rsidRDefault="00E734D0" w:rsidP="00A77C8E">
      <w:pPr>
        <w:pStyle w:val="Bibliography"/>
      </w:pPr>
      <w:r>
        <w:fldChar w:fldCharType="end"/>
      </w:r>
    </w:p>
    <w:sectPr w:rsidR="00537191" w:rsidSect="00537191">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88FF1" w14:textId="77777777" w:rsidR="00FD3040" w:rsidRDefault="00FD3040" w:rsidP="00537191">
      <w:pPr>
        <w:spacing w:line="240" w:lineRule="auto"/>
      </w:pPr>
      <w:r>
        <w:separator/>
      </w:r>
    </w:p>
  </w:endnote>
  <w:endnote w:type="continuationSeparator" w:id="0">
    <w:p w14:paraId="32CD2D6B" w14:textId="77777777" w:rsidR="00FD3040" w:rsidRDefault="00FD3040" w:rsidP="005371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Bierstadt Display">
    <w:panose1 w:val="020B0004020202020204"/>
    <w:charset w:val="00"/>
    <w:family w:val="swiss"/>
    <w:pitch w:val="variable"/>
    <w:sig w:usb0="80000003" w:usb1="00000001"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Bierstadt">
    <w:panose1 w:val="020B0504020202020204"/>
    <w:charset w:val="00"/>
    <w:family w:val="swiss"/>
    <w:pitch w:val="variable"/>
    <w:sig w:usb0="80000003" w:usb1="00000001"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ova Light">
    <w:panose1 w:val="020B0304020202020204"/>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771537"/>
      <w:docPartObj>
        <w:docPartGallery w:val="Page Numbers (Bottom of Page)"/>
        <w:docPartUnique/>
      </w:docPartObj>
    </w:sdtPr>
    <w:sdtEndPr>
      <w:rPr>
        <w:rFonts w:ascii="Arial Nova Light" w:hAnsi="Arial Nova Light" w:cs="Times New Roman"/>
        <w:color w:val="BFBFBF" w:themeColor="background1" w:themeShade="BF"/>
        <w:sz w:val="18"/>
        <w:szCs w:val="18"/>
      </w:rPr>
    </w:sdtEndPr>
    <w:sdtContent>
      <w:sdt>
        <w:sdtPr>
          <w:id w:val="1728636285"/>
          <w:docPartObj>
            <w:docPartGallery w:val="Page Numbers (Top of Page)"/>
            <w:docPartUnique/>
          </w:docPartObj>
        </w:sdtPr>
        <w:sdtEndPr>
          <w:rPr>
            <w:rFonts w:ascii="Arial Nova Light" w:hAnsi="Arial Nova Light" w:cs="Times New Roman"/>
            <w:color w:val="BFBFBF" w:themeColor="background1" w:themeShade="BF"/>
            <w:sz w:val="18"/>
            <w:szCs w:val="18"/>
          </w:rPr>
        </w:sdtEndPr>
        <w:sdtContent>
          <w:p w14:paraId="1DEEF44E" w14:textId="77777777" w:rsidR="0015567C" w:rsidRPr="009C0D49" w:rsidRDefault="00000000">
            <w:pPr>
              <w:pStyle w:val="Footer"/>
              <w:jc w:val="center"/>
              <w:rPr>
                <w:rFonts w:ascii="Arial Nova Light" w:hAnsi="Arial Nova Light" w:cs="Times New Roman"/>
                <w:color w:val="BFBFBF" w:themeColor="background1" w:themeShade="BF"/>
                <w:sz w:val="18"/>
                <w:szCs w:val="18"/>
              </w:rPr>
            </w:pPr>
            <w:r w:rsidRPr="009C0D49">
              <w:rPr>
                <w:rFonts w:ascii="Arial Nova Light" w:hAnsi="Arial Nova Light" w:cs="Times New Roman"/>
                <w:color w:val="BFBFBF" w:themeColor="background1" w:themeShade="BF"/>
                <w:sz w:val="18"/>
                <w:szCs w:val="18"/>
              </w:rPr>
              <w:fldChar w:fldCharType="begin"/>
            </w:r>
            <w:r w:rsidRPr="009C0D49">
              <w:rPr>
                <w:rFonts w:ascii="Arial Nova Light" w:hAnsi="Arial Nova Light" w:cs="Times New Roman"/>
                <w:color w:val="BFBFBF" w:themeColor="background1" w:themeShade="BF"/>
                <w:sz w:val="18"/>
                <w:szCs w:val="18"/>
              </w:rPr>
              <w:instrText xml:space="preserve"> PAGE </w:instrText>
            </w:r>
            <w:r w:rsidRPr="009C0D49">
              <w:rPr>
                <w:rFonts w:ascii="Arial Nova Light" w:hAnsi="Arial Nova Light" w:cs="Times New Roman"/>
                <w:color w:val="BFBFBF" w:themeColor="background1" w:themeShade="BF"/>
                <w:sz w:val="18"/>
                <w:szCs w:val="18"/>
              </w:rPr>
              <w:fldChar w:fldCharType="separate"/>
            </w:r>
            <w:r w:rsidRPr="009C0D49">
              <w:rPr>
                <w:rFonts w:ascii="Arial Nova Light" w:hAnsi="Arial Nova Light" w:cs="Times New Roman"/>
                <w:noProof/>
                <w:color w:val="BFBFBF" w:themeColor="background1" w:themeShade="BF"/>
                <w:sz w:val="18"/>
                <w:szCs w:val="18"/>
              </w:rPr>
              <w:t>2</w:t>
            </w:r>
            <w:r w:rsidRPr="009C0D49">
              <w:rPr>
                <w:rFonts w:ascii="Arial Nova Light" w:hAnsi="Arial Nova Light" w:cs="Times New Roman"/>
                <w:color w:val="BFBFBF" w:themeColor="background1" w:themeShade="BF"/>
                <w:sz w:val="18"/>
                <w:szCs w:val="18"/>
              </w:rPr>
              <w:fldChar w:fldCharType="end"/>
            </w:r>
            <w:r w:rsidRPr="009C0D49">
              <w:rPr>
                <w:rFonts w:ascii="Arial Nova Light" w:hAnsi="Arial Nova Light" w:cs="Times New Roman"/>
                <w:color w:val="BFBFBF" w:themeColor="background1" w:themeShade="BF"/>
                <w:sz w:val="18"/>
                <w:szCs w:val="18"/>
              </w:rPr>
              <w:t xml:space="preserve"> / </w:t>
            </w:r>
            <w:r w:rsidRPr="009C0D49">
              <w:rPr>
                <w:rFonts w:ascii="Arial Nova Light" w:hAnsi="Arial Nova Light" w:cs="Times New Roman"/>
                <w:color w:val="BFBFBF" w:themeColor="background1" w:themeShade="BF"/>
                <w:sz w:val="18"/>
                <w:szCs w:val="18"/>
              </w:rPr>
              <w:fldChar w:fldCharType="begin"/>
            </w:r>
            <w:r w:rsidRPr="009C0D49">
              <w:rPr>
                <w:rFonts w:ascii="Arial Nova Light" w:hAnsi="Arial Nova Light" w:cs="Times New Roman"/>
                <w:color w:val="BFBFBF" w:themeColor="background1" w:themeShade="BF"/>
                <w:sz w:val="18"/>
                <w:szCs w:val="18"/>
              </w:rPr>
              <w:instrText xml:space="preserve"> NUMPAGES  </w:instrText>
            </w:r>
            <w:r w:rsidRPr="009C0D49">
              <w:rPr>
                <w:rFonts w:ascii="Arial Nova Light" w:hAnsi="Arial Nova Light" w:cs="Times New Roman"/>
                <w:color w:val="BFBFBF" w:themeColor="background1" w:themeShade="BF"/>
                <w:sz w:val="18"/>
                <w:szCs w:val="18"/>
              </w:rPr>
              <w:fldChar w:fldCharType="separate"/>
            </w:r>
            <w:r w:rsidRPr="009C0D49">
              <w:rPr>
                <w:rFonts w:ascii="Arial Nova Light" w:hAnsi="Arial Nova Light" w:cs="Times New Roman"/>
                <w:noProof/>
                <w:color w:val="BFBFBF" w:themeColor="background1" w:themeShade="BF"/>
                <w:sz w:val="18"/>
                <w:szCs w:val="18"/>
              </w:rPr>
              <w:t>2</w:t>
            </w:r>
            <w:r w:rsidRPr="009C0D49">
              <w:rPr>
                <w:rFonts w:ascii="Arial Nova Light" w:hAnsi="Arial Nova Light" w:cs="Times New Roman"/>
                <w:color w:val="BFBFBF" w:themeColor="background1" w:themeShade="BF"/>
                <w:sz w:val="18"/>
                <w:szCs w:val="18"/>
              </w:rPr>
              <w:fldChar w:fldCharType="end"/>
            </w:r>
          </w:p>
        </w:sdtContent>
      </w:sdt>
    </w:sdtContent>
  </w:sdt>
  <w:p w14:paraId="731F1C7D" w14:textId="77777777" w:rsidR="0015567C" w:rsidRDefault="001556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0FCBD" w14:textId="77777777" w:rsidR="00FD3040" w:rsidRDefault="00FD3040" w:rsidP="00537191">
      <w:pPr>
        <w:spacing w:line="240" w:lineRule="auto"/>
      </w:pPr>
      <w:r>
        <w:separator/>
      </w:r>
    </w:p>
  </w:footnote>
  <w:footnote w:type="continuationSeparator" w:id="0">
    <w:p w14:paraId="2B91DD67" w14:textId="77777777" w:rsidR="00FD3040" w:rsidRDefault="00FD3040" w:rsidP="005371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08895" w14:textId="77777777" w:rsidR="0015567C" w:rsidRPr="009C0D49" w:rsidRDefault="0015567C" w:rsidP="009C0D49">
    <w:pPr>
      <w:pStyle w:val="Header"/>
      <w:jc w:val="right"/>
      <w:rPr>
        <w:rFonts w:ascii="Times New Roman" w:hAnsi="Times New Roman" w:cs="Times New Roman"/>
        <w:i/>
        <w:iC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2F81"/>
    <w:multiLevelType w:val="multilevel"/>
    <w:tmpl w:val="288E5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866FA"/>
    <w:multiLevelType w:val="multilevel"/>
    <w:tmpl w:val="8D209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A7357"/>
    <w:multiLevelType w:val="multilevel"/>
    <w:tmpl w:val="5FCA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561CB"/>
    <w:multiLevelType w:val="multilevel"/>
    <w:tmpl w:val="06C4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F41B72"/>
    <w:multiLevelType w:val="multilevel"/>
    <w:tmpl w:val="43F8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8365C"/>
    <w:multiLevelType w:val="multilevel"/>
    <w:tmpl w:val="474C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111671"/>
    <w:multiLevelType w:val="multilevel"/>
    <w:tmpl w:val="4E2C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24035"/>
    <w:multiLevelType w:val="hybridMultilevel"/>
    <w:tmpl w:val="E1FE7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0677099">
    <w:abstractNumId w:val="6"/>
  </w:num>
  <w:num w:numId="2" w16cid:durableId="214437405">
    <w:abstractNumId w:val="4"/>
  </w:num>
  <w:num w:numId="3" w16cid:durableId="1006437937">
    <w:abstractNumId w:val="1"/>
  </w:num>
  <w:num w:numId="4" w16cid:durableId="1841196814">
    <w:abstractNumId w:val="5"/>
  </w:num>
  <w:num w:numId="5" w16cid:durableId="2037850685">
    <w:abstractNumId w:val="3"/>
  </w:num>
  <w:num w:numId="6" w16cid:durableId="1296519005">
    <w:abstractNumId w:val="2"/>
  </w:num>
  <w:num w:numId="7" w16cid:durableId="672413388">
    <w:abstractNumId w:val="7"/>
  </w:num>
  <w:num w:numId="8" w16cid:durableId="1639340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191"/>
    <w:rsid w:val="000122F1"/>
    <w:rsid w:val="0003695C"/>
    <w:rsid w:val="00043D53"/>
    <w:rsid w:val="000608B0"/>
    <w:rsid w:val="0007023C"/>
    <w:rsid w:val="00082601"/>
    <w:rsid w:val="0008293F"/>
    <w:rsid w:val="000C2AAC"/>
    <w:rsid w:val="000C7585"/>
    <w:rsid w:val="000F1140"/>
    <w:rsid w:val="000F250F"/>
    <w:rsid w:val="00103ECA"/>
    <w:rsid w:val="00111CA2"/>
    <w:rsid w:val="0015048C"/>
    <w:rsid w:val="0015567C"/>
    <w:rsid w:val="0017679B"/>
    <w:rsid w:val="00186D1F"/>
    <w:rsid w:val="00222503"/>
    <w:rsid w:val="00266500"/>
    <w:rsid w:val="00275F34"/>
    <w:rsid w:val="002802BF"/>
    <w:rsid w:val="002878BF"/>
    <w:rsid w:val="002A48E8"/>
    <w:rsid w:val="002E2DA6"/>
    <w:rsid w:val="00300DDC"/>
    <w:rsid w:val="00306375"/>
    <w:rsid w:val="00306635"/>
    <w:rsid w:val="003821C7"/>
    <w:rsid w:val="003C7939"/>
    <w:rsid w:val="003C7E9E"/>
    <w:rsid w:val="004261B7"/>
    <w:rsid w:val="004323EF"/>
    <w:rsid w:val="00461ACC"/>
    <w:rsid w:val="00470AB9"/>
    <w:rsid w:val="004720F8"/>
    <w:rsid w:val="00482C03"/>
    <w:rsid w:val="005134C5"/>
    <w:rsid w:val="00537191"/>
    <w:rsid w:val="0054044D"/>
    <w:rsid w:val="00550E83"/>
    <w:rsid w:val="00554A49"/>
    <w:rsid w:val="005820D8"/>
    <w:rsid w:val="005909D6"/>
    <w:rsid w:val="005D40F9"/>
    <w:rsid w:val="00622AD8"/>
    <w:rsid w:val="0065072C"/>
    <w:rsid w:val="006578D1"/>
    <w:rsid w:val="00657F76"/>
    <w:rsid w:val="00663AF0"/>
    <w:rsid w:val="006A2EDF"/>
    <w:rsid w:val="0071395E"/>
    <w:rsid w:val="00734D33"/>
    <w:rsid w:val="00755F0E"/>
    <w:rsid w:val="0076285D"/>
    <w:rsid w:val="00763008"/>
    <w:rsid w:val="007A49FD"/>
    <w:rsid w:val="007B0030"/>
    <w:rsid w:val="007B5B05"/>
    <w:rsid w:val="007F128B"/>
    <w:rsid w:val="007F181C"/>
    <w:rsid w:val="007F51BC"/>
    <w:rsid w:val="00803588"/>
    <w:rsid w:val="00804630"/>
    <w:rsid w:val="00805CE8"/>
    <w:rsid w:val="00836261"/>
    <w:rsid w:val="00860E5B"/>
    <w:rsid w:val="00865DDD"/>
    <w:rsid w:val="008D29B1"/>
    <w:rsid w:val="008D31CC"/>
    <w:rsid w:val="008E22DB"/>
    <w:rsid w:val="008F4B2C"/>
    <w:rsid w:val="00913E97"/>
    <w:rsid w:val="00931330"/>
    <w:rsid w:val="00941C7A"/>
    <w:rsid w:val="00955586"/>
    <w:rsid w:val="0096773F"/>
    <w:rsid w:val="009C00A0"/>
    <w:rsid w:val="009F1C74"/>
    <w:rsid w:val="00A4033E"/>
    <w:rsid w:val="00A74B8D"/>
    <w:rsid w:val="00A766E1"/>
    <w:rsid w:val="00A77C8E"/>
    <w:rsid w:val="00A85985"/>
    <w:rsid w:val="00AF644C"/>
    <w:rsid w:val="00AF6A76"/>
    <w:rsid w:val="00B375F4"/>
    <w:rsid w:val="00B54EDB"/>
    <w:rsid w:val="00B86E48"/>
    <w:rsid w:val="00BD66F1"/>
    <w:rsid w:val="00BE0DA7"/>
    <w:rsid w:val="00C0312A"/>
    <w:rsid w:val="00C135DE"/>
    <w:rsid w:val="00C1698E"/>
    <w:rsid w:val="00C71150"/>
    <w:rsid w:val="00C942C7"/>
    <w:rsid w:val="00C96BB8"/>
    <w:rsid w:val="00CC4546"/>
    <w:rsid w:val="00CC7C0C"/>
    <w:rsid w:val="00CD0124"/>
    <w:rsid w:val="00CF4419"/>
    <w:rsid w:val="00D43AE6"/>
    <w:rsid w:val="00D90DEF"/>
    <w:rsid w:val="00DA0DE2"/>
    <w:rsid w:val="00DB015F"/>
    <w:rsid w:val="00DE4722"/>
    <w:rsid w:val="00DE7370"/>
    <w:rsid w:val="00E251FB"/>
    <w:rsid w:val="00E734D0"/>
    <w:rsid w:val="00ED16DB"/>
    <w:rsid w:val="00ED754C"/>
    <w:rsid w:val="00EE73D7"/>
    <w:rsid w:val="00F02C1B"/>
    <w:rsid w:val="00F16C8C"/>
    <w:rsid w:val="00F602F7"/>
    <w:rsid w:val="00F63768"/>
    <w:rsid w:val="00F810C4"/>
    <w:rsid w:val="00FC0492"/>
    <w:rsid w:val="00FD3040"/>
    <w:rsid w:val="00FE1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36522"/>
  <w15:chartTrackingRefBased/>
  <w15:docId w15:val="{86395238-F8DE-0140-972B-0A61FAA5A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D53"/>
    <w:pPr>
      <w:spacing w:after="0" w:line="360" w:lineRule="auto"/>
      <w:jc w:val="both"/>
    </w:pPr>
    <w:rPr>
      <w:rFonts w:ascii="Bierstadt Display" w:hAnsi="Bierstadt Display"/>
    </w:rPr>
  </w:style>
  <w:style w:type="paragraph" w:styleId="Heading1">
    <w:name w:val="heading 1"/>
    <w:basedOn w:val="Normal"/>
    <w:next w:val="Normal"/>
    <w:link w:val="Heading1Char"/>
    <w:uiPriority w:val="9"/>
    <w:qFormat/>
    <w:rsid w:val="005371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71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71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1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1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1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1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1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1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1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71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71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1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1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1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1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1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191"/>
    <w:rPr>
      <w:rFonts w:eastAsiaTheme="majorEastAsia" w:cstheme="majorBidi"/>
      <w:color w:val="272727" w:themeColor="text1" w:themeTint="D8"/>
    </w:rPr>
  </w:style>
  <w:style w:type="paragraph" w:styleId="Title">
    <w:name w:val="Title"/>
    <w:basedOn w:val="Normal"/>
    <w:next w:val="Normal"/>
    <w:link w:val="TitleChar"/>
    <w:uiPriority w:val="10"/>
    <w:qFormat/>
    <w:rsid w:val="00537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1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1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1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191"/>
    <w:pPr>
      <w:spacing w:before="160"/>
      <w:jc w:val="center"/>
    </w:pPr>
    <w:rPr>
      <w:i/>
      <w:iCs/>
      <w:color w:val="404040" w:themeColor="text1" w:themeTint="BF"/>
    </w:rPr>
  </w:style>
  <w:style w:type="character" w:customStyle="1" w:styleId="QuoteChar">
    <w:name w:val="Quote Char"/>
    <w:basedOn w:val="DefaultParagraphFont"/>
    <w:link w:val="Quote"/>
    <w:uiPriority w:val="29"/>
    <w:rsid w:val="00537191"/>
    <w:rPr>
      <w:i/>
      <w:iCs/>
      <w:color w:val="404040" w:themeColor="text1" w:themeTint="BF"/>
    </w:rPr>
  </w:style>
  <w:style w:type="paragraph" w:styleId="ListParagraph">
    <w:name w:val="List Paragraph"/>
    <w:basedOn w:val="Normal"/>
    <w:uiPriority w:val="34"/>
    <w:qFormat/>
    <w:rsid w:val="00537191"/>
    <w:pPr>
      <w:ind w:left="720"/>
      <w:contextualSpacing/>
    </w:pPr>
  </w:style>
  <w:style w:type="character" w:styleId="IntenseEmphasis">
    <w:name w:val="Intense Emphasis"/>
    <w:basedOn w:val="DefaultParagraphFont"/>
    <w:uiPriority w:val="21"/>
    <w:qFormat/>
    <w:rsid w:val="00537191"/>
    <w:rPr>
      <w:i/>
      <w:iCs/>
      <w:color w:val="0F4761" w:themeColor="accent1" w:themeShade="BF"/>
    </w:rPr>
  </w:style>
  <w:style w:type="paragraph" w:styleId="IntenseQuote">
    <w:name w:val="Intense Quote"/>
    <w:basedOn w:val="Normal"/>
    <w:next w:val="Normal"/>
    <w:link w:val="IntenseQuoteChar"/>
    <w:uiPriority w:val="30"/>
    <w:qFormat/>
    <w:rsid w:val="005371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191"/>
    <w:rPr>
      <w:i/>
      <w:iCs/>
      <w:color w:val="0F4761" w:themeColor="accent1" w:themeShade="BF"/>
    </w:rPr>
  </w:style>
  <w:style w:type="character" w:styleId="IntenseReference">
    <w:name w:val="Intense Reference"/>
    <w:basedOn w:val="DefaultParagraphFont"/>
    <w:uiPriority w:val="32"/>
    <w:qFormat/>
    <w:rsid w:val="00537191"/>
    <w:rPr>
      <w:b/>
      <w:bCs/>
      <w:smallCaps/>
      <w:color w:val="0F4761" w:themeColor="accent1" w:themeShade="BF"/>
      <w:spacing w:val="5"/>
    </w:rPr>
  </w:style>
  <w:style w:type="character" w:styleId="Strong">
    <w:name w:val="Strong"/>
    <w:basedOn w:val="DefaultParagraphFont"/>
    <w:uiPriority w:val="22"/>
    <w:qFormat/>
    <w:rsid w:val="00537191"/>
    <w:rPr>
      <w:b/>
      <w:bCs/>
    </w:rPr>
  </w:style>
  <w:style w:type="paragraph" w:styleId="PlainText">
    <w:name w:val="Plain Text"/>
    <w:basedOn w:val="Normal"/>
    <w:link w:val="PlainTextChar"/>
    <w:uiPriority w:val="99"/>
    <w:unhideWhenUsed/>
    <w:rsid w:val="00537191"/>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537191"/>
    <w:rPr>
      <w:rFonts w:ascii="Consolas" w:hAnsi="Consolas" w:cs="Consolas"/>
      <w:sz w:val="21"/>
      <w:szCs w:val="21"/>
    </w:rPr>
  </w:style>
  <w:style w:type="table" w:styleId="GridTable3">
    <w:name w:val="Grid Table 3"/>
    <w:basedOn w:val="TableNormal"/>
    <w:uiPriority w:val="48"/>
    <w:rsid w:val="0053719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
    <w:name w:val="Grid Table 7 Colorful"/>
    <w:basedOn w:val="TableNormal"/>
    <w:uiPriority w:val="52"/>
    <w:rsid w:val="0053719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53719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537191"/>
    <w:pPr>
      <w:tabs>
        <w:tab w:val="center" w:pos="4680"/>
        <w:tab w:val="right" w:pos="9360"/>
      </w:tabs>
      <w:spacing w:line="240" w:lineRule="auto"/>
    </w:pPr>
  </w:style>
  <w:style w:type="character" w:customStyle="1" w:styleId="HeaderChar">
    <w:name w:val="Header Char"/>
    <w:basedOn w:val="DefaultParagraphFont"/>
    <w:link w:val="Header"/>
    <w:uiPriority w:val="99"/>
    <w:rsid w:val="00537191"/>
    <w:rPr>
      <w:rFonts w:ascii="Bierstadt Display" w:hAnsi="Bierstadt Display"/>
    </w:rPr>
  </w:style>
  <w:style w:type="paragraph" w:styleId="Footer">
    <w:name w:val="footer"/>
    <w:basedOn w:val="Normal"/>
    <w:link w:val="FooterChar"/>
    <w:uiPriority w:val="99"/>
    <w:unhideWhenUsed/>
    <w:rsid w:val="00537191"/>
    <w:pPr>
      <w:tabs>
        <w:tab w:val="center" w:pos="4680"/>
        <w:tab w:val="right" w:pos="9360"/>
      </w:tabs>
      <w:spacing w:line="240" w:lineRule="auto"/>
    </w:pPr>
  </w:style>
  <w:style w:type="character" w:customStyle="1" w:styleId="FooterChar">
    <w:name w:val="Footer Char"/>
    <w:basedOn w:val="DefaultParagraphFont"/>
    <w:link w:val="Footer"/>
    <w:uiPriority w:val="99"/>
    <w:rsid w:val="00537191"/>
    <w:rPr>
      <w:rFonts w:ascii="Bierstadt Display" w:hAnsi="Bierstadt Display"/>
    </w:rPr>
  </w:style>
  <w:style w:type="table" w:styleId="TableGrid">
    <w:name w:val="Table Grid"/>
    <w:basedOn w:val="TableNormal"/>
    <w:uiPriority w:val="39"/>
    <w:rsid w:val="0053719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537191"/>
    <w:pPr>
      <w:tabs>
        <w:tab w:val="left" w:pos="260"/>
        <w:tab w:val="left" w:pos="384"/>
      </w:tabs>
      <w:spacing w:after="240" w:line="240" w:lineRule="auto"/>
      <w:ind w:left="264" w:hanging="264"/>
    </w:pPr>
  </w:style>
  <w:style w:type="character" w:styleId="PlaceholderText">
    <w:name w:val="Placeholder Text"/>
    <w:basedOn w:val="DefaultParagraphFont"/>
    <w:uiPriority w:val="99"/>
    <w:semiHidden/>
    <w:rsid w:val="000122F1"/>
    <w:rPr>
      <w:color w:val="666666"/>
    </w:rPr>
  </w:style>
  <w:style w:type="character" w:styleId="Emphasis">
    <w:name w:val="Emphasis"/>
    <w:basedOn w:val="DefaultParagraphFont"/>
    <w:uiPriority w:val="20"/>
    <w:qFormat/>
    <w:rsid w:val="000122F1"/>
    <w:rPr>
      <w:i/>
      <w:iCs/>
    </w:rPr>
  </w:style>
  <w:style w:type="character" w:styleId="Hyperlink">
    <w:name w:val="Hyperlink"/>
    <w:basedOn w:val="DefaultParagraphFont"/>
    <w:uiPriority w:val="99"/>
    <w:semiHidden/>
    <w:unhideWhenUsed/>
    <w:rsid w:val="003C7939"/>
    <w:rPr>
      <w:color w:val="0000FF"/>
      <w:u w:val="single"/>
    </w:rPr>
  </w:style>
  <w:style w:type="character" w:styleId="FollowedHyperlink">
    <w:name w:val="FollowedHyperlink"/>
    <w:basedOn w:val="DefaultParagraphFont"/>
    <w:uiPriority w:val="99"/>
    <w:semiHidden/>
    <w:unhideWhenUsed/>
    <w:rsid w:val="003C7939"/>
    <w:rPr>
      <w:color w:val="800080"/>
      <w:u w:val="single"/>
    </w:rPr>
  </w:style>
  <w:style w:type="paragraph" w:customStyle="1" w:styleId="msonormal0">
    <w:name w:val="msonormal"/>
    <w:basedOn w:val="Normal"/>
    <w:rsid w:val="003C7939"/>
    <w:pPr>
      <w:spacing w:before="100" w:beforeAutospacing="1" w:after="100" w:afterAutospacing="1" w:line="240" w:lineRule="auto"/>
      <w:jc w:val="left"/>
    </w:pPr>
    <w:rPr>
      <w:rFonts w:ascii="Times New Roman" w:eastAsia="Times New Roman" w:hAnsi="Times New Roman" w:cs="Times New Roman"/>
      <w:kern w:val="0"/>
      <w14:ligatures w14:val="none"/>
    </w:rPr>
  </w:style>
  <w:style w:type="paragraph" w:customStyle="1" w:styleId="xl65">
    <w:name w:val="xl65"/>
    <w:basedOn w:val="Normal"/>
    <w:rsid w:val="003C793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kern w:val="0"/>
      <w14:ligatures w14:val="none"/>
    </w:rPr>
  </w:style>
  <w:style w:type="table" w:styleId="GridTable2">
    <w:name w:val="Grid Table 2"/>
    <w:basedOn w:val="TableNormal"/>
    <w:uiPriority w:val="47"/>
    <w:rsid w:val="003C793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482C0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5">
    <w:name w:val="Plain Table 5"/>
    <w:basedOn w:val="TableNormal"/>
    <w:uiPriority w:val="45"/>
    <w:rsid w:val="00482C0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sid w:val="00A85985"/>
    <w:rPr>
      <w:sz w:val="16"/>
      <w:szCs w:val="16"/>
    </w:rPr>
  </w:style>
  <w:style w:type="paragraph" w:styleId="CommentText">
    <w:name w:val="annotation text"/>
    <w:basedOn w:val="Normal"/>
    <w:link w:val="CommentTextChar"/>
    <w:uiPriority w:val="99"/>
    <w:semiHidden/>
    <w:unhideWhenUsed/>
    <w:rsid w:val="00A85985"/>
    <w:pPr>
      <w:spacing w:line="240" w:lineRule="auto"/>
    </w:pPr>
    <w:rPr>
      <w:sz w:val="20"/>
      <w:szCs w:val="20"/>
    </w:rPr>
  </w:style>
  <w:style w:type="character" w:customStyle="1" w:styleId="CommentTextChar">
    <w:name w:val="Comment Text Char"/>
    <w:basedOn w:val="DefaultParagraphFont"/>
    <w:link w:val="CommentText"/>
    <w:uiPriority w:val="99"/>
    <w:semiHidden/>
    <w:rsid w:val="00A85985"/>
    <w:rPr>
      <w:rFonts w:ascii="Bierstadt Display" w:hAnsi="Bierstadt Display"/>
      <w:sz w:val="20"/>
      <w:szCs w:val="20"/>
    </w:rPr>
  </w:style>
  <w:style w:type="paragraph" w:styleId="CommentSubject">
    <w:name w:val="annotation subject"/>
    <w:basedOn w:val="CommentText"/>
    <w:next w:val="CommentText"/>
    <w:link w:val="CommentSubjectChar"/>
    <w:uiPriority w:val="99"/>
    <w:semiHidden/>
    <w:unhideWhenUsed/>
    <w:rsid w:val="00A85985"/>
    <w:rPr>
      <w:b/>
      <w:bCs/>
    </w:rPr>
  </w:style>
  <w:style w:type="character" w:customStyle="1" w:styleId="CommentSubjectChar">
    <w:name w:val="Comment Subject Char"/>
    <w:basedOn w:val="CommentTextChar"/>
    <w:link w:val="CommentSubject"/>
    <w:uiPriority w:val="99"/>
    <w:semiHidden/>
    <w:rsid w:val="00A85985"/>
    <w:rPr>
      <w:rFonts w:ascii="Bierstadt Display" w:hAnsi="Bierstadt Display"/>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675880">
      <w:bodyDiv w:val="1"/>
      <w:marLeft w:val="0"/>
      <w:marRight w:val="0"/>
      <w:marTop w:val="0"/>
      <w:marBottom w:val="0"/>
      <w:divBdr>
        <w:top w:val="none" w:sz="0" w:space="0" w:color="auto"/>
        <w:left w:val="none" w:sz="0" w:space="0" w:color="auto"/>
        <w:bottom w:val="none" w:sz="0" w:space="0" w:color="auto"/>
        <w:right w:val="none" w:sz="0" w:space="0" w:color="auto"/>
      </w:divBdr>
    </w:div>
    <w:div w:id="571164747">
      <w:bodyDiv w:val="1"/>
      <w:marLeft w:val="0"/>
      <w:marRight w:val="0"/>
      <w:marTop w:val="0"/>
      <w:marBottom w:val="0"/>
      <w:divBdr>
        <w:top w:val="none" w:sz="0" w:space="0" w:color="auto"/>
        <w:left w:val="none" w:sz="0" w:space="0" w:color="auto"/>
        <w:bottom w:val="none" w:sz="0" w:space="0" w:color="auto"/>
        <w:right w:val="none" w:sz="0" w:space="0" w:color="auto"/>
      </w:divBdr>
    </w:div>
    <w:div w:id="655957730">
      <w:bodyDiv w:val="1"/>
      <w:marLeft w:val="0"/>
      <w:marRight w:val="0"/>
      <w:marTop w:val="0"/>
      <w:marBottom w:val="0"/>
      <w:divBdr>
        <w:top w:val="none" w:sz="0" w:space="0" w:color="auto"/>
        <w:left w:val="none" w:sz="0" w:space="0" w:color="auto"/>
        <w:bottom w:val="none" w:sz="0" w:space="0" w:color="auto"/>
        <w:right w:val="none" w:sz="0" w:space="0" w:color="auto"/>
      </w:divBdr>
    </w:div>
    <w:div w:id="836193759">
      <w:bodyDiv w:val="1"/>
      <w:marLeft w:val="0"/>
      <w:marRight w:val="0"/>
      <w:marTop w:val="0"/>
      <w:marBottom w:val="0"/>
      <w:divBdr>
        <w:top w:val="none" w:sz="0" w:space="0" w:color="auto"/>
        <w:left w:val="none" w:sz="0" w:space="0" w:color="auto"/>
        <w:bottom w:val="none" w:sz="0" w:space="0" w:color="auto"/>
        <w:right w:val="none" w:sz="0" w:space="0" w:color="auto"/>
      </w:divBdr>
    </w:div>
    <w:div w:id="857088906">
      <w:bodyDiv w:val="1"/>
      <w:marLeft w:val="0"/>
      <w:marRight w:val="0"/>
      <w:marTop w:val="0"/>
      <w:marBottom w:val="0"/>
      <w:divBdr>
        <w:top w:val="none" w:sz="0" w:space="0" w:color="auto"/>
        <w:left w:val="none" w:sz="0" w:space="0" w:color="auto"/>
        <w:bottom w:val="none" w:sz="0" w:space="0" w:color="auto"/>
        <w:right w:val="none" w:sz="0" w:space="0" w:color="auto"/>
      </w:divBdr>
    </w:div>
    <w:div w:id="988900031">
      <w:bodyDiv w:val="1"/>
      <w:marLeft w:val="0"/>
      <w:marRight w:val="0"/>
      <w:marTop w:val="0"/>
      <w:marBottom w:val="0"/>
      <w:divBdr>
        <w:top w:val="none" w:sz="0" w:space="0" w:color="auto"/>
        <w:left w:val="none" w:sz="0" w:space="0" w:color="auto"/>
        <w:bottom w:val="none" w:sz="0" w:space="0" w:color="auto"/>
        <w:right w:val="none" w:sz="0" w:space="0" w:color="auto"/>
      </w:divBdr>
    </w:div>
    <w:div w:id="1227186774">
      <w:bodyDiv w:val="1"/>
      <w:marLeft w:val="0"/>
      <w:marRight w:val="0"/>
      <w:marTop w:val="0"/>
      <w:marBottom w:val="0"/>
      <w:divBdr>
        <w:top w:val="none" w:sz="0" w:space="0" w:color="auto"/>
        <w:left w:val="none" w:sz="0" w:space="0" w:color="auto"/>
        <w:bottom w:val="none" w:sz="0" w:space="0" w:color="auto"/>
        <w:right w:val="none" w:sz="0" w:space="0" w:color="auto"/>
      </w:divBdr>
    </w:div>
    <w:div w:id="1389526787">
      <w:bodyDiv w:val="1"/>
      <w:marLeft w:val="0"/>
      <w:marRight w:val="0"/>
      <w:marTop w:val="0"/>
      <w:marBottom w:val="0"/>
      <w:divBdr>
        <w:top w:val="none" w:sz="0" w:space="0" w:color="auto"/>
        <w:left w:val="none" w:sz="0" w:space="0" w:color="auto"/>
        <w:bottom w:val="none" w:sz="0" w:space="0" w:color="auto"/>
        <w:right w:val="none" w:sz="0" w:space="0" w:color="auto"/>
      </w:divBdr>
    </w:div>
    <w:div w:id="1705596224">
      <w:bodyDiv w:val="1"/>
      <w:marLeft w:val="0"/>
      <w:marRight w:val="0"/>
      <w:marTop w:val="0"/>
      <w:marBottom w:val="0"/>
      <w:divBdr>
        <w:top w:val="none" w:sz="0" w:space="0" w:color="auto"/>
        <w:left w:val="none" w:sz="0" w:space="0" w:color="auto"/>
        <w:bottom w:val="none" w:sz="0" w:space="0" w:color="auto"/>
        <w:right w:val="none" w:sz="0" w:space="0" w:color="auto"/>
      </w:divBdr>
    </w:div>
    <w:div w:id="208602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28</Pages>
  <Words>9723</Words>
  <Characters>55427</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Tran</dc:creator>
  <cp:keywords/>
  <dc:description/>
  <cp:lastModifiedBy>Nguyen Tran</cp:lastModifiedBy>
  <cp:revision>24</cp:revision>
  <dcterms:created xsi:type="dcterms:W3CDTF">2026-09-22T03:18:00Z</dcterms:created>
  <dcterms:modified xsi:type="dcterms:W3CDTF">2026-09-27T14:16:00Z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id="rq8ygx0d"/&gt;&lt;style id="http://www.zotero.org/styles/nlm-citation-sequence" locale="en-US"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