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5CAB"/>
          <w:sz w:val="28"/>
        </w:rPr>
        <w:t>UNIVERSIDAD DEL MAGDALENA</w:t>
      </w:r>
    </w:p>
    <w:p>
      <w:pPr>
        <w:jc w:val="center"/>
      </w:pPr>
      <w:r>
        <w:rPr>
          <w:i/>
          <w:color w:val="5B6B7A"/>
          <w:sz w:val="22"/>
        </w:rPr>
        <w:t>Control Estadístico de Procesos — 2026-1</w:t>
      </w:r>
    </w:p>
    <w:p/>
    <w:p/>
    <w:p>
      <w:pPr>
        <w:jc w:val="center"/>
      </w:pPr>
      <w:r>
        <w:rPr>
          <w:b/>
          <w:color w:val="003A6B"/>
          <w:sz w:val="52"/>
        </w:rPr>
        <w:t>Informe de Base de Datos</w:t>
      </w:r>
    </w:p>
    <w:p>
      <w:pPr>
        <w:jc w:val="center"/>
      </w:pPr>
      <w:r>
        <w:rPr>
          <w:i/>
          <w:color w:val="005CAB"/>
          <w:sz w:val="30"/>
        </w:rPr>
        <w:t>Modelo, esquema, configuración y operación</w:t>
      </w:r>
    </w:p>
    <w:p/>
    <w:p/>
    <w:p>
      <w:pPr>
        <w:jc w:val="center"/>
      </w:pPr>
      <w:r>
        <w:rPr>
          <w:b/>
          <w:color w:val="FF9400"/>
          <w:sz w:val="24"/>
        </w:rPr>
        <w:t>Sistema de Control Estadístico de Calidad</w:t>
      </w:r>
    </w:p>
    <w:p>
      <w:pPr>
        <w:jc w:val="center"/>
      </w:pPr>
      <w:r>
        <w:rPr>
          <w:color w:val="5B6B7A"/>
          <w:sz w:val="22"/>
        </w:rPr>
        <w:t>Frutas, hortalizas y plantas medicinales</w:t>
      </w:r>
    </w:p>
    <w:p/>
    <w:p/>
    <w:p/>
    <w:p/>
    <w:p/>
    <w:p/>
    <w:p/>
    <w:p/>
    <w:p>
      <w:pPr>
        <w:jc w:val="center"/>
      </w:pPr>
      <w:r>
        <w:rPr>
          <w:color w:val="5B6B7A"/>
          <w:sz w:val="22"/>
        </w:rPr>
        <w:t>Santa Marta, mayo de 2026</w:t>
      </w:r>
    </w:p>
    <w:p>
      <w:r>
        <w:br w:type="page"/>
      </w:r>
    </w:p>
    <w:p>
      <w:pPr>
        <w:pStyle w:val="Heading1"/>
      </w:pPr>
      <w:r>
        <w:t>Tabla de contenidos</w:t>
      </w:r>
    </w:p>
    <w:p>
      <w:r>
        <w:rPr>
          <w:b/>
          <w:color w:val="003A6B"/>
          <w:sz w:val="22"/>
        </w:rPr>
        <w:t>1. Introducción</w:t>
      </w:r>
    </w:p>
    <w:p>
      <w:r>
        <w:rPr>
          <w:b/>
          <w:color w:val="003A6B"/>
          <w:sz w:val="22"/>
        </w:rPr>
        <w:t>2. Elección tecnológica</w:t>
      </w:r>
    </w:p>
    <w:p>
      <w:r>
        <w:rPr>
          <w:b/>
          <w:color w:val="003A6B"/>
          <w:sz w:val="22"/>
        </w:rPr>
        <w:t>3. Arquitectura de conexión</w:t>
      </w:r>
    </w:p>
    <w:p>
      <w:r>
        <w:rPr>
          <w:b/>
          <w:color w:val="003A6B"/>
          <w:sz w:val="22"/>
        </w:rPr>
        <w:t>4. Modelo entidad-relación</w:t>
      </w:r>
    </w:p>
    <w:p>
      <w:r>
        <w:rPr>
          <w:b/>
          <w:color w:val="003A6B"/>
          <w:sz w:val="22"/>
        </w:rPr>
        <w:t>5. Esquema SQL (DDL)</w:t>
      </w:r>
    </w:p>
    <w:p>
      <w:r>
        <w:rPr>
          <w:b/>
          <w:color w:val="003A6B"/>
          <w:sz w:val="22"/>
        </w:rPr>
        <w:t>6. Detalle de las tablas</w:t>
      </w:r>
    </w:p>
    <w:p>
      <w:r>
        <w:rPr>
          <w:b/>
          <w:color w:val="003A6B"/>
          <w:sz w:val="22"/>
        </w:rPr>
        <w:t>7. Tipos de datos y justificación</w:t>
      </w:r>
    </w:p>
    <w:p>
      <w:r>
        <w:rPr>
          <w:b/>
          <w:color w:val="003A6B"/>
          <w:sz w:val="22"/>
        </w:rPr>
        <w:t>8. Restricciones e índices</w:t>
      </w:r>
    </w:p>
    <w:p>
      <w:r>
        <w:rPr>
          <w:b/>
          <w:color w:val="003A6B"/>
          <w:sz w:val="22"/>
        </w:rPr>
        <w:t>9. Configuración y variables de entorno</w:t>
      </w:r>
    </w:p>
    <w:p>
      <w:r>
        <w:rPr>
          <w:b/>
          <w:color w:val="003A6B"/>
          <w:sz w:val="22"/>
        </w:rPr>
        <w:t>10. Operaciones CRUD soportadas</w:t>
      </w:r>
    </w:p>
    <w:p>
      <w:r>
        <w:rPr>
          <w:b/>
          <w:color w:val="003A6B"/>
          <w:sz w:val="22"/>
        </w:rPr>
        <w:t>11. Patrones de acceso desde la aplicación</w:t>
      </w:r>
    </w:p>
    <w:p>
      <w:r>
        <w:rPr>
          <w:b/>
          <w:color w:val="003A6B"/>
          <w:sz w:val="22"/>
        </w:rPr>
        <w:t>12. Particularidades para entornos serverless</w:t>
      </w:r>
    </w:p>
    <w:p>
      <w:r>
        <w:rPr>
          <w:b/>
          <w:color w:val="003A6B"/>
          <w:sz w:val="22"/>
        </w:rPr>
        <w:t>13. Seguridad</w:t>
      </w:r>
    </w:p>
    <w:p>
      <w:r>
        <w:rPr>
          <w:b/>
          <w:color w:val="003A6B"/>
          <w:sz w:val="22"/>
        </w:rPr>
        <w:t>14. Backups, mantenimiento y restauración</w:t>
      </w:r>
    </w:p>
    <w:p>
      <w:r>
        <w:rPr>
          <w:b/>
          <w:color w:val="003A6B"/>
          <w:sz w:val="22"/>
        </w:rPr>
        <w:t>15. Consultas útiles</w:t>
      </w:r>
    </w:p>
    <w:p>
      <w:r>
        <w:rPr>
          <w:b/>
          <w:color w:val="003A6B"/>
          <w:sz w:val="22"/>
        </w:rPr>
        <w:t>16. Migración y portabilidad</w:t>
      </w:r>
    </w:p>
    <w:p>
      <w:r>
        <w:rPr>
          <w:b/>
          <w:color w:val="003A6B"/>
          <w:sz w:val="22"/>
        </w:rPr>
        <w:t>17. Métricas y monitoreo</w:t>
      </w:r>
    </w:p>
    <w:p>
      <w:r>
        <w:rPr>
          <w:b/>
          <w:color w:val="003A6B"/>
          <w:sz w:val="22"/>
        </w:rPr>
        <w:t>18. Limitaciones conocidas</w:t>
      </w:r>
    </w:p>
    <w:p>
      <w:r>
        <w:rPr>
          <w:b/>
          <w:color w:val="003A6B"/>
          <w:sz w:val="22"/>
        </w:rPr>
        <w:t>19. Glosario</w:t>
      </w:r>
    </w:p>
    <w:p>
      <w:r>
        <w:br w:type="page"/>
      </w:r>
    </w:p>
    <w:p>
      <w:pPr>
        <w:pStyle w:val="Heading1"/>
      </w:pPr>
      <w:r>
        <w:t>1. Introducción</w:t>
      </w:r>
    </w:p>
    <w:p>
      <w:r>
        <w:t>Este documento describe el diseño y operación de la base de datos que da soporte al Sistema de Control Estadístico de Calidad. El objetivo es servir como referencia técnica para entender qué información se persiste, cómo se organiza, cómo se accede a ella desde la aplicación y qué consideraciones deben tenerse en cuenta para su mantenimiento y evolución.</w:t>
      </w:r>
    </w:p>
    <w:p>
      <w:r>
        <w:t>El sistema utiliza una arquitectura de doble backend con resolución automática: PostgreSQL (en Supabase) en producción y SQLite en desarrollo local. Ambos backends comparten la misma interfaz pública en Python, lo que permite alternar entre ellos simplemente configurando o no la variable de entorno DATABASE_URL.</w:t>
      </w:r>
    </w:p>
    <w:p>
      <w:pPr>
        <w:pStyle w:val="Heading1"/>
      </w:pPr>
      <w:r>
        <w:t>2. Elección tecnológica</w:t>
      </w:r>
    </w:p>
    <w:p>
      <w:pPr>
        <w:pStyle w:val="Heading2"/>
      </w:pPr>
      <w:r>
        <w:t>2.1 PostgreSQL en producción</w:t>
      </w:r>
    </w:p>
    <w:p>
      <w:r>
        <w:t>PostgreSQL es el motor relacional de referencia para aplicaciones modernas: ACID-compliant, con soporte amplio de tipos (incluyendo JSONB), índices avanzados, full-text search, replicación y un ecosistema maduro de herramientas. La versión que provee Supabase es PostgreSQL 15+.</w:t>
      </w:r>
    </w:p>
    <w:p>
      <w:pPr>
        <w:pStyle w:val="Heading2"/>
      </w:pPr>
      <w:r>
        <w:t>2.2 Supabase como proveedor</w:t>
      </w:r>
    </w:p>
    <w:p>
      <w:pPr>
        <w:pStyle w:val="ListBullet"/>
      </w:pPr>
      <w:r>
        <w:rPr>
          <w:b/>
        </w:rPr>
        <w:t xml:space="preserve">Plan gratuito generoso: </w:t>
      </w:r>
      <w:r>
        <w:t>500 MB de almacenamiento, 2 GB de transferencia, ilimitadas APIs y filas. Suficiente para el prototipo académico.</w:t>
      </w:r>
    </w:p>
    <w:p>
      <w:pPr>
        <w:pStyle w:val="ListBullet"/>
      </w:pPr>
      <w:r>
        <w:rPr>
          <w:b/>
        </w:rPr>
        <w:t xml:space="preserve">Administración cero: </w:t>
      </w:r>
      <w:r>
        <w:t>Supabase se encarga de parches, backups, alta disponibilidad y monitoreo.</w:t>
      </w:r>
    </w:p>
    <w:p>
      <w:pPr>
        <w:pStyle w:val="ListBullet"/>
      </w:pPr>
      <w:r>
        <w:rPr>
          <w:b/>
        </w:rPr>
        <w:t xml:space="preserve">API REST y RPC automáticas: </w:t>
      </w:r>
      <w:r>
        <w:t>PostgREST expone las tablas como endpoints (no usado en este proyecto, pero disponible para evoluciones).</w:t>
      </w:r>
    </w:p>
    <w:p>
      <w:pPr>
        <w:pStyle w:val="ListBullet"/>
      </w:pPr>
      <w:r>
        <w:rPr>
          <w:b/>
        </w:rPr>
        <w:t xml:space="preserve">Auth integrada: </w:t>
      </w:r>
      <w:r>
        <w:t>Supabase Auth permite agregar usuarios y RLS sin infraestructura adicional.</w:t>
      </w:r>
    </w:p>
    <w:p>
      <w:pPr>
        <w:pStyle w:val="ListBullet"/>
      </w:pPr>
      <w:r>
        <w:rPr>
          <w:b/>
        </w:rPr>
        <w:t xml:space="preserve">Edge functions: </w:t>
      </w:r>
      <w:r>
        <w:t>ejecución de lógica próxima al cliente para casos específicos.</w:t>
      </w:r>
    </w:p>
    <w:p>
      <w:pPr>
        <w:pStyle w:val="Heading2"/>
      </w:pPr>
      <w:r>
        <w:t>2.3 SQLite como fallback local</w:t>
      </w:r>
    </w:p>
    <w:p>
      <w:r>
        <w:t>Para el desarrollo y las pruebas se mantiene un backend SQLite que escribe en data/control_calidad.db. Esto evita la dependencia de una conexión a Supabase durante el desarrollo, permite trabajar offline y simplifica las pruebas automáticas. SQLite NO es apto para Vercel porque el filesystem en serverless es efímero.</w:t>
      </w:r>
    </w:p>
    <w:p>
      <w:pPr>
        <w:pStyle w:val="Heading2"/>
      </w:pPr>
      <w:r>
        <w:t>2.4 URL del proyecto Supabase</w:t>
      </w:r>
    </w:p>
    <w:p>
      <w:r>
        <w:t>URL del proyecto: https://kicalhpqppkknqtjhtml.supabase.co</w:t>
      </w:r>
    </w:p>
    <w:p>
      <w:pPr>
        <w:pStyle w:val="Heading1"/>
      </w:pPr>
      <w:r>
        <w:t>3. Arquitectura de conexión</w:t>
      </w:r>
    </w:p>
    <w:p>
      <w:pPr>
        <w:jc w:val="center"/>
      </w:pPr>
      <w:r>
        <w:drawing>
          <wp:inline xmlns:a="http://schemas.openxmlformats.org/drawingml/2006/main" xmlns:pic="http://schemas.openxmlformats.org/drawingml/2006/picture">
            <wp:extent cx="5760000" cy="4088617"/>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760000" cy="4088617"/>
                    </a:xfrm>
                    <a:prstGeom prst="rect"/>
                  </pic:spPr>
                </pic:pic>
              </a:graphicData>
            </a:graphic>
          </wp:inline>
        </w:drawing>
      </w:r>
    </w:p>
    <w:p>
      <w:pPr>
        <w:jc w:val="center"/>
      </w:pPr>
      <w:r>
        <w:rPr>
          <w:i/>
          <w:color w:val="5B6B7A"/>
          <w:sz w:val="18"/>
        </w:rPr>
        <w:t>Figura 1. Arquitectura general de la solución. La capa de persistencia (Supabase) recibe conexiones del backend Flask vía el Transaction Pooler.</w:t>
      </w:r>
    </w:p>
    <w:p>
      <w:pPr>
        <w:pStyle w:val="Heading2"/>
      </w:pPr>
      <w:r>
        <w:t>3.1 Componentes</w:t>
      </w:r>
    </w:p>
    <w:p>
      <w:pPr>
        <w:pStyle w:val="ListBullet"/>
      </w:pPr>
      <w:r>
        <w:rPr>
          <w:b/>
        </w:rPr>
        <w:t xml:space="preserve">Cliente (navegador): </w:t>
      </w:r>
      <w:r>
        <w:t>se comunica únicamente con el backend Flask vía HTTPS. Nunca habla directamente con la base de datos.</w:t>
      </w:r>
    </w:p>
    <w:p>
      <w:pPr>
        <w:pStyle w:val="ListBullet"/>
      </w:pPr>
      <w:r>
        <w:rPr>
          <w:b/>
        </w:rPr>
        <w:t xml:space="preserve">Backend (Vercel Serverless): </w:t>
      </w:r>
      <w:r>
        <w:t>función Python que ejecuta Flask. Cada petición HTTP genera una nueva invocación que abre y cierra su conexión.</w:t>
      </w:r>
    </w:p>
    <w:p>
      <w:pPr>
        <w:pStyle w:val="ListBullet"/>
      </w:pPr>
      <w:r>
        <w:rPr>
          <w:b/>
        </w:rPr>
        <w:t xml:space="preserve">Transaction Pooler de Supabase (PgBouncer): </w:t>
      </w:r>
      <w:r>
        <w:t>puerto 6543, IPv4. Reutiliza conexiones físicas a Postgres entre invocaciones; indispensable para serverless.</w:t>
      </w:r>
    </w:p>
    <w:p>
      <w:pPr>
        <w:pStyle w:val="ListBullet"/>
      </w:pPr>
      <w:r>
        <w:rPr>
          <w:b/>
        </w:rPr>
        <w:t xml:space="preserve">PostgreSQL: </w:t>
      </w:r>
      <w:r>
        <w:t>el motor donde residen las tablas estudios y muestras.</w:t>
      </w:r>
    </w:p>
    <w:p>
      <w:pPr>
        <w:pStyle w:val="Heading2"/>
      </w:pPr>
      <w:r>
        <w:t>3.2 Opciones de conexión a Supabase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5CAB"/>
            <w:vAlign w:val="center"/>
          </w:tcPr>
          <w:p>
            <w:r/>
            <w:r>
              <w:rPr>
                <w:b/>
                <w:color w:val="FFFFFF"/>
                <w:sz w:val="20"/>
              </w:rPr>
              <w:t>Modo</w:t>
            </w:r>
          </w:p>
        </w:tc>
        <w:tc>
          <w:tcPr>
            <w:tcW w:type="dxa" w:w="1881"/>
            <w:shd w:val="clear" w:color="auto" w:fill="005CAB"/>
            <w:vAlign w:val="center"/>
          </w:tcPr>
          <w:p>
            <w:r/>
            <w:r>
              <w:rPr>
                <w:b/>
                <w:color w:val="FFFFFF"/>
                <w:sz w:val="20"/>
              </w:rPr>
              <w:t>Puerto</w:t>
            </w:r>
          </w:p>
        </w:tc>
        <w:tc>
          <w:tcPr>
            <w:tcW w:type="dxa" w:w="1881"/>
            <w:shd w:val="clear" w:color="auto" w:fill="005CAB"/>
            <w:vAlign w:val="center"/>
          </w:tcPr>
          <w:p>
            <w:r/>
            <w:r>
              <w:rPr>
                <w:b/>
                <w:color w:val="FFFFFF"/>
                <w:sz w:val="20"/>
              </w:rPr>
              <w:t>Host</w:t>
            </w:r>
          </w:p>
        </w:tc>
        <w:tc>
          <w:tcPr>
            <w:tcW w:type="dxa" w:w="1881"/>
            <w:shd w:val="clear" w:color="auto" w:fill="005CAB"/>
            <w:vAlign w:val="center"/>
          </w:tcPr>
          <w:p>
            <w:r/>
            <w:r>
              <w:rPr>
                <w:b/>
                <w:color w:val="FFFFFF"/>
                <w:sz w:val="20"/>
              </w:rPr>
              <w:t>Protocolo</w:t>
            </w:r>
          </w:p>
        </w:tc>
        <w:tc>
          <w:tcPr>
            <w:tcW w:type="dxa" w:w="1881"/>
            <w:shd w:val="clear" w:color="auto" w:fill="005CAB"/>
            <w:vAlign w:val="center"/>
          </w:tcPr>
          <w:p>
            <w:r/>
            <w:r>
              <w:rPr>
                <w:b/>
                <w:color w:val="FFFFFF"/>
                <w:sz w:val="20"/>
              </w:rPr>
              <w:t>Apto en Vercel</w:t>
            </w:r>
          </w:p>
        </w:tc>
      </w:tr>
      <w:tr>
        <w:tc>
          <w:tcPr>
            <w:tcW w:type="dxa" w:w="1881"/>
          </w:tcPr>
          <w:p>
            <w:r/>
            <w:r>
              <w:rPr>
                <w:sz w:val="19"/>
              </w:rPr>
              <w:t>Direct connection</w:t>
            </w:r>
          </w:p>
        </w:tc>
        <w:tc>
          <w:tcPr>
            <w:tcW w:type="dxa" w:w="1881"/>
          </w:tcPr>
          <w:p>
            <w:r/>
            <w:r>
              <w:rPr>
                <w:sz w:val="19"/>
              </w:rPr>
              <w:t>5432</w:t>
            </w:r>
          </w:p>
        </w:tc>
        <w:tc>
          <w:tcPr>
            <w:tcW w:type="dxa" w:w="1881"/>
          </w:tcPr>
          <w:p>
            <w:r/>
            <w:r>
              <w:rPr>
                <w:sz w:val="19"/>
              </w:rPr>
              <w:t>db.&lt;ref&gt;.supabase.co</w:t>
            </w:r>
          </w:p>
        </w:tc>
        <w:tc>
          <w:tcPr>
            <w:tcW w:type="dxa" w:w="1881"/>
          </w:tcPr>
          <w:p>
            <w:r/>
            <w:r>
              <w:rPr>
                <w:sz w:val="19"/>
              </w:rPr>
              <w:t>IPv6</w:t>
            </w:r>
          </w:p>
        </w:tc>
        <w:tc>
          <w:tcPr>
            <w:tcW w:type="dxa" w:w="1881"/>
          </w:tcPr>
          <w:p>
            <w:r/>
            <w:r>
              <w:rPr>
                <w:sz w:val="19"/>
              </w:rPr>
              <w:t>No (Vercel no tiene IPv6 saliente)</w:t>
            </w:r>
          </w:p>
        </w:tc>
      </w:tr>
      <w:tr>
        <w:tc>
          <w:tcPr>
            <w:tcW w:type="dxa" w:w="1881"/>
          </w:tcPr>
          <w:p>
            <w:r/>
            <w:r>
              <w:rPr>
                <w:sz w:val="19"/>
              </w:rPr>
              <w:t>Session pooler</w:t>
            </w:r>
          </w:p>
        </w:tc>
        <w:tc>
          <w:tcPr>
            <w:tcW w:type="dxa" w:w="1881"/>
          </w:tcPr>
          <w:p>
            <w:r/>
            <w:r>
              <w:rPr>
                <w:sz w:val="19"/>
              </w:rPr>
              <w:t>5432</w:t>
            </w:r>
          </w:p>
        </w:tc>
        <w:tc>
          <w:tcPr>
            <w:tcW w:type="dxa" w:w="1881"/>
          </w:tcPr>
          <w:p>
            <w:r/>
            <w:r>
              <w:rPr>
                <w:sz w:val="19"/>
              </w:rPr>
              <w:t>aws-0-&lt;region&gt;.pooler.supabase.com</w:t>
            </w:r>
          </w:p>
        </w:tc>
        <w:tc>
          <w:tcPr>
            <w:tcW w:type="dxa" w:w="1881"/>
          </w:tcPr>
          <w:p>
            <w:r/>
            <w:r>
              <w:rPr>
                <w:sz w:val="19"/>
              </w:rPr>
              <w:t>IPv4</w:t>
            </w:r>
          </w:p>
        </w:tc>
        <w:tc>
          <w:tcPr>
            <w:tcW w:type="dxa" w:w="1881"/>
          </w:tcPr>
          <w:p>
            <w:r/>
            <w:r>
              <w:rPr>
                <w:sz w:val="19"/>
              </w:rPr>
              <w:t>Sí (alternativa)</w:t>
            </w:r>
          </w:p>
        </w:tc>
      </w:tr>
      <w:tr>
        <w:tc>
          <w:tcPr>
            <w:tcW w:type="dxa" w:w="1881"/>
          </w:tcPr>
          <w:p>
            <w:r/>
            <w:r>
              <w:rPr>
                <w:sz w:val="19"/>
              </w:rPr>
              <w:t>Transaction pooler</w:t>
            </w:r>
          </w:p>
        </w:tc>
        <w:tc>
          <w:tcPr>
            <w:tcW w:type="dxa" w:w="1881"/>
          </w:tcPr>
          <w:p>
            <w:r/>
            <w:r>
              <w:rPr>
                <w:sz w:val="19"/>
              </w:rPr>
              <w:t>6543</w:t>
            </w:r>
          </w:p>
        </w:tc>
        <w:tc>
          <w:tcPr>
            <w:tcW w:type="dxa" w:w="1881"/>
          </w:tcPr>
          <w:p>
            <w:r/>
            <w:r>
              <w:rPr>
                <w:sz w:val="19"/>
              </w:rPr>
              <w:t>aws-0-&lt;region&gt;.pooler.supabase.com</w:t>
            </w:r>
          </w:p>
        </w:tc>
        <w:tc>
          <w:tcPr>
            <w:tcW w:type="dxa" w:w="1881"/>
          </w:tcPr>
          <w:p>
            <w:r/>
            <w:r>
              <w:rPr>
                <w:sz w:val="19"/>
              </w:rPr>
              <w:t>IPv4</w:t>
            </w:r>
          </w:p>
        </w:tc>
        <w:tc>
          <w:tcPr>
            <w:tcW w:type="dxa" w:w="1881"/>
          </w:tcPr>
          <w:p>
            <w:r/>
            <w:r>
              <w:rPr>
                <w:sz w:val="19"/>
              </w:rPr>
              <w:t>Sí (recomendada)</w:t>
            </w:r>
          </w:p>
        </w:tc>
      </w:tr>
    </w:tbl>
    <w:p>
      <w:pPr>
        <w:spacing w:after="120"/>
      </w:pPr>
    </w:p>
    <w:p>
      <w:r>
        <w:t>En este proyecto se usa el Transaction Pooler porque maneja eficientemente las conexiones efímeras de las funciones serverless.</w:t>
      </w:r>
    </w:p>
    <w:p>
      <w:pPr>
        <w:pStyle w:val="Heading1"/>
      </w:pPr>
      <w:r>
        <w:t>4. Modelo entidad-relación</w:t>
      </w:r>
    </w:p>
    <w:p>
      <w:pPr>
        <w:jc w:val="center"/>
      </w:pPr>
      <w:r>
        <w:drawing>
          <wp:inline xmlns:a="http://schemas.openxmlformats.org/drawingml/2006/main" xmlns:pic="http://schemas.openxmlformats.org/drawingml/2006/picture">
            <wp:extent cx="5400000" cy="3432612"/>
            <wp:docPr id="2" name="Picture 2"/>
            <wp:cNvGraphicFramePr>
              <a:graphicFrameLocks noChangeAspect="1"/>
            </wp:cNvGraphicFramePr>
            <a:graphic>
              <a:graphicData uri="http://schemas.openxmlformats.org/drawingml/2006/picture">
                <pic:pic>
                  <pic:nvPicPr>
                    <pic:cNvPr id="0" name="modelo_datos.png"/>
                    <pic:cNvPicPr/>
                  </pic:nvPicPr>
                  <pic:blipFill>
                    <a:blip r:embed="rId11"/>
                    <a:stretch>
                      <a:fillRect/>
                    </a:stretch>
                  </pic:blipFill>
                  <pic:spPr>
                    <a:xfrm>
                      <a:off x="0" y="0"/>
                      <a:ext cx="5400000" cy="3432612"/>
                    </a:xfrm>
                    <a:prstGeom prst="rect"/>
                  </pic:spPr>
                </pic:pic>
              </a:graphicData>
            </a:graphic>
          </wp:inline>
        </w:drawing>
      </w:r>
    </w:p>
    <w:p>
      <w:pPr>
        <w:jc w:val="center"/>
      </w:pPr>
      <w:r>
        <w:rPr>
          <w:i/>
          <w:color w:val="5B6B7A"/>
          <w:sz w:val="18"/>
        </w:rPr>
        <w:t>Figura 2. Modelo entidad-relación. Una fila en estudios agrupa varios subgrupos en muestras.</w:t>
      </w:r>
    </w:p>
    <w:p>
      <w:r>
        <w:t>El modelo es deliberadamente simple — solo dos tablas. La granularidad de análisis del CEP es el subgrupo, no la medición individual; por eso las mediciones de un mismo subgrupo se guardan juntas en un campo JSONB en lugar de normalizarse en una tercera tabla.</w:t>
      </w:r>
    </w:p>
    <w:p>
      <w:pPr>
        <w:pStyle w:val="Heading1"/>
      </w:pPr>
      <w:r>
        <w:t>5. Esquema SQL (DDL)</w:t>
      </w:r>
    </w:p>
    <w:p>
      <w:r>
        <w:t>DDL completo aplicado en Supabase (archivo supabase/schema.sql):</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CREATE TABLE IF NOT EXISTS public.estudios (</w:t>
            </w:r>
          </w:p>
          <w:p>
            <w:r>
              <w:rPr>
                <w:rFonts w:ascii="Consolas" w:hAnsi="Consolas"/>
                <w:color w:val="003A6B"/>
                <w:sz w:val="18"/>
              </w:rPr>
              <w:t xml:space="preserve">    id              BIGSERIAL PRIMARY KEY,</w:t>
            </w:r>
          </w:p>
          <w:p>
            <w:r>
              <w:rPr>
                <w:rFonts w:ascii="Consolas" w:hAnsi="Consolas"/>
                <w:color w:val="003A6B"/>
                <w:sz w:val="18"/>
              </w:rPr>
              <w:t xml:space="preserve">    nombre          TEXT NOT NULL,</w:t>
            </w:r>
          </w:p>
          <w:p>
            <w:r>
              <w:rPr>
                <w:rFonts w:ascii="Consolas" w:hAnsi="Consolas"/>
                <w:color w:val="003A6B"/>
                <w:sz w:val="18"/>
              </w:rPr>
              <w:t xml:space="preserve">    producto        TEXT NOT NULL,</w:t>
            </w:r>
          </w:p>
          <w:p>
            <w:r>
              <w:rPr>
                <w:rFonts w:ascii="Consolas" w:hAnsi="Consolas"/>
                <w:color w:val="003A6B"/>
                <w:sz w:val="18"/>
              </w:rPr>
              <w:t xml:space="preserve">    tipo            TEXT NOT NULL CHECK (tipo IN ('variable', 'atributo')),</w:t>
            </w:r>
          </w:p>
          <w:p>
            <w:r>
              <w:rPr>
                <w:rFonts w:ascii="Consolas" w:hAnsi="Consolas"/>
                <w:color w:val="003A6B"/>
                <w:sz w:val="18"/>
              </w:rPr>
              <w:t xml:space="preserve">    caracteristica  TEXT NOT NULL,</w:t>
            </w:r>
          </w:p>
          <w:p>
            <w:r>
              <w:rPr>
                <w:rFonts w:ascii="Consolas" w:hAnsi="Consolas"/>
                <w:color w:val="003A6B"/>
                <w:sz w:val="18"/>
              </w:rPr>
              <w:t xml:space="preserve">    unidad          TEXT,</w:t>
            </w:r>
          </w:p>
          <w:p>
            <w:r>
              <w:rPr>
                <w:rFonts w:ascii="Consolas" w:hAnsi="Consolas"/>
                <w:color w:val="003A6B"/>
                <w:sz w:val="18"/>
              </w:rPr>
              <w:t xml:space="preserve">    analista        TEXT,</w:t>
            </w:r>
          </w:p>
          <w:p>
            <w:r>
              <w:rPr>
                <w:rFonts w:ascii="Consolas" w:hAnsi="Consolas"/>
                <w:color w:val="003A6B"/>
                <w:sz w:val="18"/>
              </w:rPr>
              <w:t xml:space="preserve">    lote            TEXT,</w:t>
            </w:r>
          </w:p>
          <w:p>
            <w:r>
              <w:rPr>
                <w:rFonts w:ascii="Consolas" w:hAnsi="Consolas"/>
                <w:color w:val="003A6B"/>
                <w:sz w:val="18"/>
              </w:rPr>
              <w:t xml:space="preserve">    tipo_grafico    TEXT NOT NULL</w:t>
            </w:r>
          </w:p>
          <w:p>
            <w:r>
              <w:rPr>
                <w:rFonts w:ascii="Consolas" w:hAnsi="Consolas"/>
                <w:color w:val="003A6B"/>
                <w:sz w:val="18"/>
              </w:rPr>
              <w:t xml:space="preserve">                    CHECK (tipo_grafico IN ('xr', 'xs', 'p', 'np', 'c', 'u')),</w:t>
            </w:r>
          </w:p>
          <w:p>
            <w:r>
              <w:rPr>
                <w:rFonts w:ascii="Consolas" w:hAnsi="Consolas"/>
                <w:color w:val="003A6B"/>
                <w:sz w:val="18"/>
              </w:rPr>
              <w:t xml:space="preserve">    lsl             DOUBLE PRECISION,</w:t>
            </w:r>
          </w:p>
          <w:p>
            <w:r>
              <w:rPr>
                <w:rFonts w:ascii="Consolas" w:hAnsi="Consolas"/>
                <w:color w:val="003A6B"/>
                <w:sz w:val="18"/>
              </w:rPr>
              <w:t xml:space="preserve">    usl             DOUBLE PRECISION,</w:t>
            </w:r>
          </w:p>
          <w:p>
            <w:r>
              <w:rPr>
                <w:rFonts w:ascii="Consolas" w:hAnsi="Consolas"/>
                <w:color w:val="003A6B"/>
                <w:sz w:val="18"/>
              </w:rPr>
              <w:t xml:space="preserve">    tamano_subgrupo INTEGER</w:t>
            </w:r>
          </w:p>
          <w:p>
            <w:r>
              <w:rPr>
                <w:rFonts w:ascii="Consolas" w:hAnsi="Consolas"/>
                <w:color w:val="003A6B"/>
                <w:sz w:val="18"/>
              </w:rPr>
              <w:t xml:space="preserve">                    CHECK (tamano_subgrupo IS NULL OR</w:t>
            </w:r>
          </w:p>
          <w:p>
            <w:r>
              <w:rPr>
                <w:rFonts w:ascii="Consolas" w:hAnsi="Consolas"/>
                <w:color w:val="003A6B"/>
                <w:sz w:val="18"/>
              </w:rPr>
              <w:t xml:space="preserve">                           (tamano_subgrupo BETWEEN 2 AND 25)),</w:t>
            </w:r>
          </w:p>
          <w:p>
            <w:r>
              <w:rPr>
                <w:rFonts w:ascii="Consolas" w:hAnsi="Consolas"/>
                <w:color w:val="003A6B"/>
                <w:sz w:val="18"/>
              </w:rPr>
              <w:t xml:space="preserve">    notas           TEXT,</w:t>
            </w:r>
          </w:p>
          <w:p>
            <w:r>
              <w:rPr>
                <w:rFonts w:ascii="Consolas" w:hAnsi="Consolas"/>
                <w:color w:val="003A6B"/>
                <w:sz w:val="18"/>
              </w:rPr>
              <w:t xml:space="preserve">    fecha_creacion  TIMESTAMPTZ NOT NULL DEFAULT NOW()</w:t>
            </w:r>
          </w:p>
          <w:p>
            <w:r>
              <w:rPr>
                <w:rFonts w:ascii="Consolas" w:hAnsi="Consolas"/>
                <w:color w:val="003A6B"/>
                <w:sz w:val="18"/>
              </w:rPr>
              <w:t>);</w:t>
            </w:r>
          </w:p>
          <w:p>
            <w:r>
              <w:rPr>
                <w:rFonts w:ascii="Consolas" w:hAnsi="Consolas"/>
                <w:color w:val="003A6B"/>
                <w:sz w:val="18"/>
              </w:rPr>
            </w:r>
            <w:r>
              <w:rPr>
                <w:rFonts w:ascii="Consolas" w:hAnsi="Consolas"/>
                <w:color w:val="003A6B"/>
                <w:sz w:val="18"/>
              </w:rPr>
              <w:t>CREATE TABLE IF NOT EXISTS public.muestras (</w:t>
            </w:r>
          </w:p>
          <w:p>
            <w:r>
              <w:rPr>
                <w:rFonts w:ascii="Consolas" w:hAnsi="Consolas"/>
                <w:color w:val="003A6B"/>
                <w:sz w:val="18"/>
              </w:rPr>
              <w:t xml:space="preserve">    id            BIGSERIAL PRIMARY KEY,</w:t>
            </w:r>
          </w:p>
          <w:p>
            <w:r>
              <w:rPr>
                <w:rFonts w:ascii="Consolas" w:hAnsi="Consolas"/>
                <w:color w:val="003A6B"/>
                <w:sz w:val="18"/>
              </w:rPr>
              <w:t xml:space="preserve">    estudio_id    BIGINT NOT NULL</w:t>
            </w:r>
          </w:p>
          <w:p>
            <w:r>
              <w:rPr>
                <w:rFonts w:ascii="Consolas" w:hAnsi="Consolas"/>
                <w:color w:val="003A6B"/>
                <w:sz w:val="18"/>
              </w:rPr>
              <w:t xml:space="preserve">                  REFERENCES public.estudios(id) ON DELETE CASCADE,</w:t>
            </w:r>
          </w:p>
          <w:p>
            <w:r>
              <w:rPr>
                <w:rFonts w:ascii="Consolas" w:hAnsi="Consolas"/>
                <w:color w:val="003A6B"/>
                <w:sz w:val="18"/>
              </w:rPr>
              <w:t xml:space="preserve">    subgrupo      INTEGER NOT NULL CHECK (subgrupo &gt;= 1),</w:t>
            </w:r>
          </w:p>
          <w:p>
            <w:r>
              <w:rPr>
                <w:rFonts w:ascii="Consolas" w:hAnsi="Consolas"/>
                <w:color w:val="003A6B"/>
                <w:sz w:val="18"/>
              </w:rPr>
              <w:t xml:space="preserve">    valores       JSONB NOT NULL,</w:t>
            </w:r>
          </w:p>
          <w:p>
            <w:r>
              <w:rPr>
                <w:rFonts w:ascii="Consolas" w:hAnsi="Consolas"/>
                <w:color w:val="003A6B"/>
                <w:sz w:val="18"/>
              </w:rPr>
              <w:t xml:space="preserve">    fecha_muestra TIMESTAMPTZ NOT NULL DEFAULT NOW()</w:t>
            </w:r>
          </w:p>
          <w:p>
            <w:r>
              <w:rPr>
                <w:rFonts w:ascii="Consolas" w:hAnsi="Consolas"/>
                <w:color w:val="003A6B"/>
                <w:sz w:val="18"/>
              </w:rPr>
              <w:t>);</w:t>
            </w:r>
          </w:p>
          <w:p>
            <w:r>
              <w:rPr>
                <w:rFonts w:ascii="Consolas" w:hAnsi="Consolas"/>
                <w:color w:val="003A6B"/>
                <w:sz w:val="18"/>
              </w:rPr>
            </w:r>
            <w:r>
              <w:rPr>
                <w:rFonts w:ascii="Consolas" w:hAnsi="Consolas"/>
                <w:color w:val="003A6B"/>
                <w:sz w:val="18"/>
              </w:rPr>
              <w:t>CREATE INDEX IF NOT EXISTS idx_muestras_estudio</w:t>
            </w:r>
          </w:p>
          <w:p>
            <w:r>
              <w:rPr>
                <w:rFonts w:ascii="Consolas" w:hAnsi="Consolas"/>
                <w:color w:val="003A6B"/>
                <w:sz w:val="18"/>
              </w:rPr>
              <w:t xml:space="preserve">    ON public.muestras(estudio_id);</w:t>
            </w:r>
          </w:p>
          <w:p>
            <w:r>
              <w:rPr>
                <w:rFonts w:ascii="Consolas" w:hAnsi="Consolas"/>
                <w:color w:val="003A6B"/>
                <w:sz w:val="18"/>
              </w:rPr>
              <w:t>CREATE INDEX IF NOT EXISTS idx_estudios_fecha</w:t>
            </w:r>
          </w:p>
          <w:p>
            <w:r>
              <w:rPr>
                <w:rFonts w:ascii="Consolas" w:hAnsi="Consolas"/>
                <w:color w:val="003A6B"/>
                <w:sz w:val="18"/>
              </w:rPr>
              <w:t xml:space="preserve">    ON public.estudios(fecha_creacion DESC);</w:t>
            </w:r>
          </w:p>
          <w:p>
            <w:r>
              <w:rPr>
                <w:rFonts w:ascii="Consolas" w:hAnsi="Consolas"/>
                <w:color w:val="003A6B"/>
                <w:sz w:val="18"/>
              </w:rPr>
              <w:t>CREATE INDEX IF NOT EXISTS idx_estudios_producto</w:t>
            </w:r>
          </w:p>
          <w:p>
            <w:r>
              <w:rPr>
                <w:rFonts w:ascii="Consolas" w:hAnsi="Consolas"/>
                <w:color w:val="003A6B"/>
                <w:sz w:val="18"/>
              </w:rPr>
              <w:t xml:space="preserve">    ON public.estudios(producto);</w:t>
            </w:r>
          </w:p>
        </w:tc>
      </w:tr>
    </w:tbl>
    <w:p>
      <w:pPr>
        <w:spacing w:after="120"/>
      </w:pPr>
    </w:p>
    <w:p>
      <w:r>
        <w:t>Además, se incluye una vista de conveniencia para el dashboard:</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CREATE OR REPLACE VIEW public.v_estudios_resumen AS</w:t>
            </w:r>
          </w:p>
          <w:p>
            <w:r>
              <w:rPr>
                <w:rFonts w:ascii="Consolas" w:hAnsi="Consolas"/>
                <w:color w:val="003A6B"/>
                <w:sz w:val="18"/>
              </w:rPr>
              <w:t>SELECT</w:t>
            </w:r>
          </w:p>
          <w:p>
            <w:r>
              <w:rPr>
                <w:rFonts w:ascii="Consolas" w:hAnsi="Consolas"/>
                <w:color w:val="003A6B"/>
                <w:sz w:val="18"/>
              </w:rPr>
              <w:t xml:space="preserve">    e.id, e.nombre, e.producto, e.tipo, e.caracteristica,</w:t>
            </w:r>
          </w:p>
          <w:p>
            <w:r>
              <w:rPr>
                <w:rFonts w:ascii="Consolas" w:hAnsi="Consolas"/>
                <w:color w:val="003A6B"/>
                <w:sz w:val="18"/>
              </w:rPr>
              <w:t xml:space="preserve">    e.tipo_grafico, e.analista, e.lote, e.fecha_creacion,</w:t>
            </w:r>
          </w:p>
          <w:p>
            <w:r>
              <w:rPr>
                <w:rFonts w:ascii="Consolas" w:hAnsi="Consolas"/>
                <w:color w:val="003A6B"/>
                <w:sz w:val="18"/>
              </w:rPr>
              <w:t xml:space="preserve">    COUNT(m.id) AS n_muestras</w:t>
            </w:r>
          </w:p>
          <w:p>
            <w:r>
              <w:rPr>
                <w:rFonts w:ascii="Consolas" w:hAnsi="Consolas"/>
                <w:color w:val="003A6B"/>
                <w:sz w:val="18"/>
              </w:rPr>
              <w:t>FROM public.estudios e</w:t>
            </w:r>
          </w:p>
          <w:p>
            <w:r>
              <w:rPr>
                <w:rFonts w:ascii="Consolas" w:hAnsi="Consolas"/>
                <w:color w:val="003A6B"/>
                <w:sz w:val="18"/>
              </w:rPr>
              <w:t>LEFT JOIN public.muestras m ON m.estudio_id = e.id</w:t>
            </w:r>
          </w:p>
          <w:p>
            <w:r>
              <w:rPr>
                <w:rFonts w:ascii="Consolas" w:hAnsi="Consolas"/>
                <w:color w:val="003A6B"/>
                <w:sz w:val="18"/>
              </w:rPr>
              <w:t>GROUP BY e.id</w:t>
            </w:r>
          </w:p>
          <w:p>
            <w:r>
              <w:rPr>
                <w:rFonts w:ascii="Consolas" w:hAnsi="Consolas"/>
                <w:color w:val="003A6B"/>
                <w:sz w:val="18"/>
              </w:rPr>
              <w:t>ORDER BY e.fecha_creacion DESC;</w:t>
            </w:r>
          </w:p>
        </w:tc>
      </w:tr>
    </w:tbl>
    <w:p>
      <w:pPr>
        <w:spacing w:after="120"/>
      </w:pPr>
    </w:p>
    <w:p>
      <w:pPr>
        <w:pStyle w:val="Heading1"/>
      </w:pPr>
      <w:r>
        <w:t>6. Detalle de las tablas</w:t>
      </w:r>
    </w:p>
    <w:p>
      <w:pPr>
        <w:pStyle w:val="Heading2"/>
      </w:pPr>
      <w:r>
        <w:t>6.1 Tabla estudios</w:t>
      </w:r>
    </w:p>
    <w:p>
      <w:r>
        <w:t>Almacena la trazabilidad y configuración de cada estudio de control: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005CAB"/>
            <w:vAlign w:val="center"/>
          </w:tcPr>
          <w:p>
            <w:r/>
            <w:r>
              <w:rPr>
                <w:b/>
                <w:color w:val="FFFFFF"/>
                <w:sz w:val="20"/>
              </w:rPr>
              <w:t>Columna</w:t>
            </w:r>
          </w:p>
        </w:tc>
        <w:tc>
          <w:tcPr>
            <w:tcW w:type="dxa" w:w="2351"/>
            <w:shd w:val="clear" w:color="auto" w:fill="005CAB"/>
            <w:vAlign w:val="center"/>
          </w:tcPr>
          <w:p>
            <w:r/>
            <w:r>
              <w:rPr>
                <w:b/>
                <w:color w:val="FFFFFF"/>
                <w:sz w:val="20"/>
              </w:rPr>
              <w:t>Tipo</w:t>
            </w:r>
          </w:p>
        </w:tc>
        <w:tc>
          <w:tcPr>
            <w:tcW w:type="dxa" w:w="2351"/>
            <w:shd w:val="clear" w:color="auto" w:fill="005CAB"/>
            <w:vAlign w:val="center"/>
          </w:tcPr>
          <w:p>
            <w:r/>
            <w:r>
              <w:rPr>
                <w:b/>
                <w:color w:val="FFFFFF"/>
                <w:sz w:val="20"/>
              </w:rPr>
              <w:t>Obligatorio</w:t>
            </w:r>
          </w:p>
        </w:tc>
        <w:tc>
          <w:tcPr>
            <w:tcW w:type="dxa" w:w="2351"/>
            <w:shd w:val="clear" w:color="auto" w:fill="005CAB"/>
            <w:vAlign w:val="center"/>
          </w:tcPr>
          <w:p>
            <w:r/>
            <w:r>
              <w:rPr>
                <w:b/>
                <w:color w:val="FFFFFF"/>
                <w:sz w:val="20"/>
              </w:rPr>
              <w:t>Descripción</w:t>
            </w:r>
          </w:p>
        </w:tc>
      </w:tr>
      <w:tr>
        <w:tc>
          <w:tcPr>
            <w:tcW w:type="dxa" w:w="2351"/>
          </w:tcPr>
          <w:p>
            <w:r/>
            <w:r>
              <w:rPr>
                <w:sz w:val="19"/>
              </w:rPr>
              <w:t>id</w:t>
            </w:r>
          </w:p>
        </w:tc>
        <w:tc>
          <w:tcPr>
            <w:tcW w:type="dxa" w:w="2351"/>
          </w:tcPr>
          <w:p>
            <w:r/>
            <w:r>
              <w:rPr>
                <w:sz w:val="19"/>
              </w:rPr>
              <w:t>BIGSERIAL</w:t>
            </w:r>
          </w:p>
        </w:tc>
        <w:tc>
          <w:tcPr>
            <w:tcW w:type="dxa" w:w="2351"/>
          </w:tcPr>
          <w:p>
            <w:r/>
            <w:r>
              <w:rPr>
                <w:sz w:val="19"/>
              </w:rPr>
              <w:t>Sí (auto)</w:t>
            </w:r>
          </w:p>
        </w:tc>
        <w:tc>
          <w:tcPr>
            <w:tcW w:type="dxa" w:w="2351"/>
          </w:tcPr>
          <w:p>
            <w:r/>
            <w:r>
              <w:rPr>
                <w:sz w:val="19"/>
              </w:rPr>
              <w:t>Clave primaria autoincremental</w:t>
            </w:r>
          </w:p>
        </w:tc>
      </w:tr>
      <w:tr>
        <w:tc>
          <w:tcPr>
            <w:tcW w:type="dxa" w:w="2351"/>
          </w:tcPr>
          <w:p>
            <w:r/>
            <w:r>
              <w:rPr>
                <w:sz w:val="19"/>
              </w:rPr>
              <w:t>nombre</w:t>
            </w:r>
          </w:p>
        </w:tc>
        <w:tc>
          <w:tcPr>
            <w:tcW w:type="dxa" w:w="2351"/>
          </w:tcPr>
          <w:p>
            <w:r/>
            <w:r>
              <w:rPr>
                <w:sz w:val="19"/>
              </w:rPr>
              <w:t>TEXT</w:t>
            </w:r>
          </w:p>
        </w:tc>
        <w:tc>
          <w:tcPr>
            <w:tcW w:type="dxa" w:w="2351"/>
          </w:tcPr>
          <w:p>
            <w:r/>
            <w:r>
              <w:rPr>
                <w:sz w:val="19"/>
              </w:rPr>
              <w:t>Sí</w:t>
            </w:r>
          </w:p>
        </w:tc>
        <w:tc>
          <w:tcPr>
            <w:tcW w:type="dxa" w:w="2351"/>
          </w:tcPr>
          <w:p>
            <w:r/>
            <w:r>
              <w:rPr>
                <w:sz w:val="19"/>
              </w:rPr>
              <w:t>Nombre descriptivo del estudio</w:t>
            </w:r>
          </w:p>
        </w:tc>
      </w:tr>
      <w:tr>
        <w:tc>
          <w:tcPr>
            <w:tcW w:type="dxa" w:w="2351"/>
          </w:tcPr>
          <w:p>
            <w:r/>
            <w:r>
              <w:rPr>
                <w:sz w:val="19"/>
              </w:rPr>
              <w:t>producto</w:t>
            </w:r>
          </w:p>
        </w:tc>
        <w:tc>
          <w:tcPr>
            <w:tcW w:type="dxa" w:w="2351"/>
          </w:tcPr>
          <w:p>
            <w:r/>
            <w:r>
              <w:rPr>
                <w:sz w:val="19"/>
              </w:rPr>
              <w:t>TEXT</w:t>
            </w:r>
          </w:p>
        </w:tc>
        <w:tc>
          <w:tcPr>
            <w:tcW w:type="dxa" w:w="2351"/>
          </w:tcPr>
          <w:p>
            <w:r/>
            <w:r>
              <w:rPr>
                <w:sz w:val="19"/>
              </w:rPr>
              <w:t>Sí</w:t>
            </w:r>
          </w:p>
        </w:tc>
        <w:tc>
          <w:tcPr>
            <w:tcW w:type="dxa" w:w="2351"/>
          </w:tcPr>
          <w:p>
            <w:r/>
            <w:r>
              <w:rPr>
                <w:sz w:val="19"/>
              </w:rPr>
              <w:t>Producto bajo control (mango, sábila…)</w:t>
            </w:r>
          </w:p>
        </w:tc>
      </w:tr>
      <w:tr>
        <w:tc>
          <w:tcPr>
            <w:tcW w:type="dxa" w:w="2351"/>
          </w:tcPr>
          <w:p>
            <w:r/>
            <w:r>
              <w:rPr>
                <w:sz w:val="19"/>
              </w:rPr>
              <w:t>tipo</w:t>
            </w:r>
          </w:p>
        </w:tc>
        <w:tc>
          <w:tcPr>
            <w:tcW w:type="dxa" w:w="2351"/>
          </w:tcPr>
          <w:p>
            <w:r/>
            <w:r>
              <w:rPr>
                <w:sz w:val="19"/>
              </w:rPr>
              <w:t>TEXT</w:t>
            </w:r>
          </w:p>
        </w:tc>
        <w:tc>
          <w:tcPr>
            <w:tcW w:type="dxa" w:w="2351"/>
          </w:tcPr>
          <w:p>
            <w:r/>
            <w:r>
              <w:rPr>
                <w:sz w:val="19"/>
              </w:rPr>
              <w:t>Sí</w:t>
            </w:r>
          </w:p>
        </w:tc>
        <w:tc>
          <w:tcPr>
            <w:tcW w:type="dxa" w:w="2351"/>
          </w:tcPr>
          <w:p>
            <w:r/>
            <w:r>
              <w:rPr>
                <w:sz w:val="19"/>
              </w:rPr>
              <w:t>'variable' o 'atributo'</w:t>
            </w:r>
          </w:p>
        </w:tc>
      </w:tr>
      <w:tr>
        <w:tc>
          <w:tcPr>
            <w:tcW w:type="dxa" w:w="2351"/>
          </w:tcPr>
          <w:p>
            <w:r/>
            <w:r>
              <w:rPr>
                <w:sz w:val="19"/>
              </w:rPr>
              <w:t>caracteristica</w:t>
            </w:r>
          </w:p>
        </w:tc>
        <w:tc>
          <w:tcPr>
            <w:tcW w:type="dxa" w:w="2351"/>
          </w:tcPr>
          <w:p>
            <w:r/>
            <w:r>
              <w:rPr>
                <w:sz w:val="19"/>
              </w:rPr>
              <w:t>TEXT</w:t>
            </w:r>
          </w:p>
        </w:tc>
        <w:tc>
          <w:tcPr>
            <w:tcW w:type="dxa" w:w="2351"/>
          </w:tcPr>
          <w:p>
            <w:r/>
            <w:r>
              <w:rPr>
                <w:sz w:val="19"/>
              </w:rPr>
              <w:t>Sí</w:t>
            </w:r>
          </w:p>
        </w:tc>
        <w:tc>
          <w:tcPr>
            <w:tcW w:type="dxa" w:w="2351"/>
          </w:tcPr>
          <w:p>
            <w:r/>
            <w:r>
              <w:rPr>
                <w:sz w:val="19"/>
              </w:rPr>
              <w:t>Característica controlada (peso, manchas…)</w:t>
            </w:r>
          </w:p>
        </w:tc>
      </w:tr>
      <w:tr>
        <w:tc>
          <w:tcPr>
            <w:tcW w:type="dxa" w:w="2351"/>
          </w:tcPr>
          <w:p>
            <w:r/>
            <w:r>
              <w:rPr>
                <w:sz w:val="19"/>
              </w:rPr>
              <w:t>unidad</w:t>
            </w:r>
          </w:p>
        </w:tc>
        <w:tc>
          <w:tcPr>
            <w:tcW w:type="dxa" w:w="2351"/>
          </w:tcPr>
          <w:p>
            <w:r/>
            <w:r>
              <w:rPr>
                <w:sz w:val="19"/>
              </w:rPr>
              <w:t>TEXT</w:t>
            </w:r>
          </w:p>
        </w:tc>
        <w:tc>
          <w:tcPr>
            <w:tcW w:type="dxa" w:w="2351"/>
          </w:tcPr>
          <w:p>
            <w:r/>
            <w:r>
              <w:rPr>
                <w:sz w:val="19"/>
              </w:rPr>
              <w:t>No</w:t>
            </w:r>
          </w:p>
        </w:tc>
        <w:tc>
          <w:tcPr>
            <w:tcW w:type="dxa" w:w="2351"/>
          </w:tcPr>
          <w:p>
            <w:r/>
            <w:r>
              <w:rPr>
                <w:sz w:val="19"/>
              </w:rPr>
              <w:t>Unidad de medida (g, cm, °Bx, %)</w:t>
            </w:r>
          </w:p>
        </w:tc>
      </w:tr>
      <w:tr>
        <w:tc>
          <w:tcPr>
            <w:tcW w:type="dxa" w:w="2351"/>
          </w:tcPr>
          <w:p>
            <w:r/>
            <w:r>
              <w:rPr>
                <w:sz w:val="19"/>
              </w:rPr>
              <w:t>analista</w:t>
            </w:r>
          </w:p>
        </w:tc>
        <w:tc>
          <w:tcPr>
            <w:tcW w:type="dxa" w:w="2351"/>
          </w:tcPr>
          <w:p>
            <w:r/>
            <w:r>
              <w:rPr>
                <w:sz w:val="19"/>
              </w:rPr>
              <w:t>TEXT</w:t>
            </w:r>
          </w:p>
        </w:tc>
        <w:tc>
          <w:tcPr>
            <w:tcW w:type="dxa" w:w="2351"/>
          </w:tcPr>
          <w:p>
            <w:r/>
            <w:r>
              <w:rPr>
                <w:sz w:val="19"/>
              </w:rPr>
              <w:t>No</w:t>
            </w:r>
          </w:p>
        </w:tc>
        <w:tc>
          <w:tcPr>
            <w:tcW w:type="dxa" w:w="2351"/>
          </w:tcPr>
          <w:p>
            <w:r/>
            <w:r>
              <w:rPr>
                <w:sz w:val="19"/>
              </w:rPr>
              <w:t>Nombre del analista responsable</w:t>
            </w:r>
          </w:p>
        </w:tc>
      </w:tr>
      <w:tr>
        <w:tc>
          <w:tcPr>
            <w:tcW w:type="dxa" w:w="2351"/>
          </w:tcPr>
          <w:p>
            <w:r/>
            <w:r>
              <w:rPr>
                <w:sz w:val="19"/>
              </w:rPr>
              <w:t>lote</w:t>
            </w:r>
          </w:p>
        </w:tc>
        <w:tc>
          <w:tcPr>
            <w:tcW w:type="dxa" w:w="2351"/>
          </w:tcPr>
          <w:p>
            <w:r/>
            <w:r>
              <w:rPr>
                <w:sz w:val="19"/>
              </w:rPr>
              <w:t>TEXT</w:t>
            </w:r>
          </w:p>
        </w:tc>
        <w:tc>
          <w:tcPr>
            <w:tcW w:type="dxa" w:w="2351"/>
          </w:tcPr>
          <w:p>
            <w:r/>
            <w:r>
              <w:rPr>
                <w:sz w:val="19"/>
              </w:rPr>
              <w:t>No</w:t>
            </w:r>
          </w:p>
        </w:tc>
        <w:tc>
          <w:tcPr>
            <w:tcW w:type="dxa" w:w="2351"/>
          </w:tcPr>
          <w:p>
            <w:r/>
            <w:r>
              <w:rPr>
                <w:sz w:val="19"/>
              </w:rPr>
              <w:t>Identificador del lote / cosecha</w:t>
            </w:r>
          </w:p>
        </w:tc>
      </w:tr>
      <w:tr>
        <w:tc>
          <w:tcPr>
            <w:tcW w:type="dxa" w:w="2351"/>
          </w:tcPr>
          <w:p>
            <w:r/>
            <w:r>
              <w:rPr>
                <w:sz w:val="19"/>
              </w:rPr>
              <w:t>tipo_grafico</w:t>
            </w:r>
          </w:p>
        </w:tc>
        <w:tc>
          <w:tcPr>
            <w:tcW w:type="dxa" w:w="2351"/>
          </w:tcPr>
          <w:p>
            <w:r/>
            <w:r>
              <w:rPr>
                <w:sz w:val="19"/>
              </w:rPr>
              <w:t>TEXT</w:t>
            </w:r>
          </w:p>
        </w:tc>
        <w:tc>
          <w:tcPr>
            <w:tcW w:type="dxa" w:w="2351"/>
          </w:tcPr>
          <w:p>
            <w:r/>
            <w:r>
              <w:rPr>
                <w:sz w:val="19"/>
              </w:rPr>
              <w:t>Sí</w:t>
            </w:r>
          </w:p>
        </w:tc>
        <w:tc>
          <w:tcPr>
            <w:tcW w:type="dxa" w:w="2351"/>
          </w:tcPr>
          <w:p>
            <w:r/>
            <w:r>
              <w:rPr>
                <w:sz w:val="19"/>
              </w:rPr>
              <w:t>xr | xs | p | np | c | u</w:t>
            </w:r>
          </w:p>
        </w:tc>
      </w:tr>
      <w:tr>
        <w:tc>
          <w:tcPr>
            <w:tcW w:type="dxa" w:w="2351"/>
          </w:tcPr>
          <w:p>
            <w:r/>
            <w:r>
              <w:rPr>
                <w:sz w:val="19"/>
              </w:rPr>
              <w:t>lsl</w:t>
            </w:r>
          </w:p>
        </w:tc>
        <w:tc>
          <w:tcPr>
            <w:tcW w:type="dxa" w:w="2351"/>
          </w:tcPr>
          <w:p>
            <w:r/>
            <w:r>
              <w:rPr>
                <w:sz w:val="19"/>
              </w:rPr>
              <w:t>DOUBLE PRECISION</w:t>
            </w:r>
          </w:p>
        </w:tc>
        <w:tc>
          <w:tcPr>
            <w:tcW w:type="dxa" w:w="2351"/>
          </w:tcPr>
          <w:p>
            <w:r/>
            <w:r>
              <w:rPr>
                <w:sz w:val="19"/>
              </w:rPr>
              <w:t>No</w:t>
            </w:r>
          </w:p>
        </w:tc>
        <w:tc>
          <w:tcPr>
            <w:tcW w:type="dxa" w:w="2351"/>
          </w:tcPr>
          <w:p>
            <w:r/>
            <w:r>
              <w:rPr>
                <w:sz w:val="19"/>
              </w:rPr>
              <w:t>Límite inferior de especificación</w:t>
            </w:r>
          </w:p>
        </w:tc>
      </w:tr>
      <w:tr>
        <w:tc>
          <w:tcPr>
            <w:tcW w:type="dxa" w:w="2351"/>
          </w:tcPr>
          <w:p>
            <w:r/>
            <w:r>
              <w:rPr>
                <w:sz w:val="19"/>
              </w:rPr>
              <w:t>usl</w:t>
            </w:r>
          </w:p>
        </w:tc>
        <w:tc>
          <w:tcPr>
            <w:tcW w:type="dxa" w:w="2351"/>
          </w:tcPr>
          <w:p>
            <w:r/>
            <w:r>
              <w:rPr>
                <w:sz w:val="19"/>
              </w:rPr>
              <w:t>DOUBLE PRECISION</w:t>
            </w:r>
          </w:p>
        </w:tc>
        <w:tc>
          <w:tcPr>
            <w:tcW w:type="dxa" w:w="2351"/>
          </w:tcPr>
          <w:p>
            <w:r/>
            <w:r>
              <w:rPr>
                <w:sz w:val="19"/>
              </w:rPr>
              <w:t>No</w:t>
            </w:r>
          </w:p>
        </w:tc>
        <w:tc>
          <w:tcPr>
            <w:tcW w:type="dxa" w:w="2351"/>
          </w:tcPr>
          <w:p>
            <w:r/>
            <w:r>
              <w:rPr>
                <w:sz w:val="19"/>
              </w:rPr>
              <w:t>Límite superior de especificación</w:t>
            </w:r>
          </w:p>
        </w:tc>
      </w:tr>
      <w:tr>
        <w:tc>
          <w:tcPr>
            <w:tcW w:type="dxa" w:w="2351"/>
          </w:tcPr>
          <w:p>
            <w:r/>
            <w:r>
              <w:rPr>
                <w:sz w:val="19"/>
              </w:rPr>
              <w:t>tamano_subgrupo</w:t>
            </w:r>
          </w:p>
        </w:tc>
        <w:tc>
          <w:tcPr>
            <w:tcW w:type="dxa" w:w="2351"/>
          </w:tcPr>
          <w:p>
            <w:r/>
            <w:r>
              <w:rPr>
                <w:sz w:val="19"/>
              </w:rPr>
              <w:t>INTEGER</w:t>
            </w:r>
          </w:p>
        </w:tc>
        <w:tc>
          <w:tcPr>
            <w:tcW w:type="dxa" w:w="2351"/>
          </w:tcPr>
          <w:p>
            <w:r/>
            <w:r>
              <w:rPr>
                <w:sz w:val="19"/>
              </w:rPr>
              <w:t>X̄-R / X̄-S</w:t>
            </w:r>
          </w:p>
        </w:tc>
        <w:tc>
          <w:tcPr>
            <w:tcW w:type="dxa" w:w="2351"/>
          </w:tcPr>
          <w:p>
            <w:r/>
            <w:r>
              <w:rPr>
                <w:sz w:val="19"/>
              </w:rPr>
              <w:t>Mediciones por subgrupo (2..25)</w:t>
            </w:r>
          </w:p>
        </w:tc>
      </w:tr>
      <w:tr>
        <w:tc>
          <w:tcPr>
            <w:tcW w:type="dxa" w:w="2351"/>
          </w:tcPr>
          <w:p>
            <w:r/>
            <w:r>
              <w:rPr>
                <w:sz w:val="19"/>
              </w:rPr>
              <w:t>notas</w:t>
            </w:r>
          </w:p>
        </w:tc>
        <w:tc>
          <w:tcPr>
            <w:tcW w:type="dxa" w:w="2351"/>
          </w:tcPr>
          <w:p>
            <w:r/>
            <w:r>
              <w:rPr>
                <w:sz w:val="19"/>
              </w:rPr>
              <w:t>TEXT</w:t>
            </w:r>
          </w:p>
        </w:tc>
        <w:tc>
          <w:tcPr>
            <w:tcW w:type="dxa" w:w="2351"/>
          </w:tcPr>
          <w:p>
            <w:r/>
            <w:r>
              <w:rPr>
                <w:sz w:val="19"/>
              </w:rPr>
              <w:t>No</w:t>
            </w:r>
          </w:p>
        </w:tc>
        <w:tc>
          <w:tcPr>
            <w:tcW w:type="dxa" w:w="2351"/>
          </w:tcPr>
          <w:p>
            <w:r/>
            <w:r>
              <w:rPr>
                <w:sz w:val="19"/>
              </w:rPr>
              <w:t>Observaciones del estudio</w:t>
            </w:r>
          </w:p>
        </w:tc>
      </w:tr>
      <w:tr>
        <w:tc>
          <w:tcPr>
            <w:tcW w:type="dxa" w:w="2351"/>
          </w:tcPr>
          <w:p>
            <w:r/>
            <w:r>
              <w:rPr>
                <w:sz w:val="19"/>
              </w:rPr>
              <w:t>fecha_creacion</w:t>
            </w:r>
          </w:p>
        </w:tc>
        <w:tc>
          <w:tcPr>
            <w:tcW w:type="dxa" w:w="2351"/>
          </w:tcPr>
          <w:p>
            <w:r/>
            <w:r>
              <w:rPr>
                <w:sz w:val="19"/>
              </w:rPr>
              <w:t>TIMESTAMPTZ</w:t>
            </w:r>
          </w:p>
        </w:tc>
        <w:tc>
          <w:tcPr>
            <w:tcW w:type="dxa" w:w="2351"/>
          </w:tcPr>
          <w:p>
            <w:r/>
            <w:r>
              <w:rPr>
                <w:sz w:val="19"/>
              </w:rPr>
              <w:t>Auto (NOW)</w:t>
            </w:r>
          </w:p>
        </w:tc>
        <w:tc>
          <w:tcPr>
            <w:tcW w:type="dxa" w:w="2351"/>
          </w:tcPr>
          <w:p>
            <w:r/>
            <w:r>
              <w:rPr>
                <w:sz w:val="19"/>
              </w:rPr>
              <w:t>Fecha y hora UTC</w:t>
            </w:r>
          </w:p>
        </w:tc>
      </w:tr>
    </w:tbl>
    <w:p>
      <w:pPr>
        <w:spacing w:after="120"/>
      </w:pPr>
    </w:p>
    <w:p>
      <w:pPr>
        <w:pStyle w:val="Heading2"/>
      </w:pPr>
      <w:r>
        <w:t>6.2 Tabla muestras</w:t>
      </w:r>
    </w:p>
    <w:p>
      <w:r>
        <w:t>Almacena cada subgrupo como una fila. Las mediciones del subgrupo se guardan en una columna JSONB para preservar la integridad atómica del subgrupo y simplificar las consultas.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005CAB"/>
            <w:vAlign w:val="center"/>
          </w:tcPr>
          <w:p>
            <w:r/>
            <w:r>
              <w:rPr>
                <w:b/>
                <w:color w:val="FFFFFF"/>
                <w:sz w:val="20"/>
              </w:rPr>
              <w:t>Columna</w:t>
            </w:r>
          </w:p>
        </w:tc>
        <w:tc>
          <w:tcPr>
            <w:tcW w:type="dxa" w:w="2351"/>
            <w:shd w:val="clear" w:color="auto" w:fill="005CAB"/>
            <w:vAlign w:val="center"/>
          </w:tcPr>
          <w:p>
            <w:r/>
            <w:r>
              <w:rPr>
                <w:b/>
                <w:color w:val="FFFFFF"/>
                <w:sz w:val="20"/>
              </w:rPr>
              <w:t>Tipo</w:t>
            </w:r>
          </w:p>
        </w:tc>
        <w:tc>
          <w:tcPr>
            <w:tcW w:type="dxa" w:w="2351"/>
            <w:shd w:val="clear" w:color="auto" w:fill="005CAB"/>
            <w:vAlign w:val="center"/>
          </w:tcPr>
          <w:p>
            <w:r/>
            <w:r>
              <w:rPr>
                <w:b/>
                <w:color w:val="FFFFFF"/>
                <w:sz w:val="20"/>
              </w:rPr>
              <w:t>Obligatorio</w:t>
            </w:r>
          </w:p>
        </w:tc>
        <w:tc>
          <w:tcPr>
            <w:tcW w:type="dxa" w:w="2351"/>
            <w:shd w:val="clear" w:color="auto" w:fill="005CAB"/>
            <w:vAlign w:val="center"/>
          </w:tcPr>
          <w:p>
            <w:r/>
            <w:r>
              <w:rPr>
                <w:b/>
                <w:color w:val="FFFFFF"/>
                <w:sz w:val="20"/>
              </w:rPr>
              <w:t>Descripción</w:t>
            </w:r>
          </w:p>
        </w:tc>
      </w:tr>
      <w:tr>
        <w:tc>
          <w:tcPr>
            <w:tcW w:type="dxa" w:w="2351"/>
          </w:tcPr>
          <w:p>
            <w:r/>
            <w:r>
              <w:rPr>
                <w:sz w:val="19"/>
              </w:rPr>
              <w:t>id</w:t>
            </w:r>
          </w:p>
        </w:tc>
        <w:tc>
          <w:tcPr>
            <w:tcW w:type="dxa" w:w="2351"/>
          </w:tcPr>
          <w:p>
            <w:r/>
            <w:r>
              <w:rPr>
                <w:sz w:val="19"/>
              </w:rPr>
              <w:t>BIGSERIAL</w:t>
            </w:r>
          </w:p>
        </w:tc>
        <w:tc>
          <w:tcPr>
            <w:tcW w:type="dxa" w:w="2351"/>
          </w:tcPr>
          <w:p>
            <w:r/>
            <w:r>
              <w:rPr>
                <w:sz w:val="19"/>
              </w:rPr>
              <w:t>Sí (auto)</w:t>
            </w:r>
          </w:p>
        </w:tc>
        <w:tc>
          <w:tcPr>
            <w:tcW w:type="dxa" w:w="2351"/>
          </w:tcPr>
          <w:p>
            <w:r/>
            <w:r>
              <w:rPr>
                <w:sz w:val="19"/>
              </w:rPr>
              <w:t>Clave primaria autoincremental</w:t>
            </w:r>
          </w:p>
        </w:tc>
      </w:tr>
      <w:tr>
        <w:tc>
          <w:tcPr>
            <w:tcW w:type="dxa" w:w="2351"/>
          </w:tcPr>
          <w:p>
            <w:r/>
            <w:r>
              <w:rPr>
                <w:sz w:val="19"/>
              </w:rPr>
              <w:t>estudio_id</w:t>
            </w:r>
          </w:p>
        </w:tc>
        <w:tc>
          <w:tcPr>
            <w:tcW w:type="dxa" w:w="2351"/>
          </w:tcPr>
          <w:p>
            <w:r/>
            <w:r>
              <w:rPr>
                <w:sz w:val="19"/>
              </w:rPr>
              <w:t>BIGINT</w:t>
            </w:r>
          </w:p>
        </w:tc>
        <w:tc>
          <w:tcPr>
            <w:tcW w:type="dxa" w:w="2351"/>
          </w:tcPr>
          <w:p>
            <w:r/>
            <w:r>
              <w:rPr>
                <w:sz w:val="19"/>
              </w:rPr>
              <w:t>Sí</w:t>
            </w:r>
          </w:p>
        </w:tc>
        <w:tc>
          <w:tcPr>
            <w:tcW w:type="dxa" w:w="2351"/>
          </w:tcPr>
          <w:p>
            <w:r/>
            <w:r>
              <w:rPr>
                <w:sz w:val="19"/>
              </w:rPr>
              <w:t>FK a estudios.id (ON DELETE CASCADE)</w:t>
            </w:r>
          </w:p>
        </w:tc>
      </w:tr>
      <w:tr>
        <w:tc>
          <w:tcPr>
            <w:tcW w:type="dxa" w:w="2351"/>
          </w:tcPr>
          <w:p>
            <w:r/>
            <w:r>
              <w:rPr>
                <w:sz w:val="19"/>
              </w:rPr>
              <w:t>subgrupo</w:t>
            </w:r>
          </w:p>
        </w:tc>
        <w:tc>
          <w:tcPr>
            <w:tcW w:type="dxa" w:w="2351"/>
          </w:tcPr>
          <w:p>
            <w:r/>
            <w:r>
              <w:rPr>
                <w:sz w:val="19"/>
              </w:rPr>
              <w:t>INTEGER</w:t>
            </w:r>
          </w:p>
        </w:tc>
        <w:tc>
          <w:tcPr>
            <w:tcW w:type="dxa" w:w="2351"/>
          </w:tcPr>
          <w:p>
            <w:r/>
            <w:r>
              <w:rPr>
                <w:sz w:val="19"/>
              </w:rPr>
              <w:t>Sí</w:t>
            </w:r>
          </w:p>
        </w:tc>
        <w:tc>
          <w:tcPr>
            <w:tcW w:type="dxa" w:w="2351"/>
          </w:tcPr>
          <w:p>
            <w:r/>
            <w:r>
              <w:rPr>
                <w:sz w:val="19"/>
              </w:rPr>
              <w:t>Número de subgrupo (1..N)</w:t>
            </w:r>
          </w:p>
        </w:tc>
      </w:tr>
      <w:tr>
        <w:tc>
          <w:tcPr>
            <w:tcW w:type="dxa" w:w="2351"/>
          </w:tcPr>
          <w:p>
            <w:r/>
            <w:r>
              <w:rPr>
                <w:sz w:val="19"/>
              </w:rPr>
              <w:t>valores</w:t>
            </w:r>
          </w:p>
        </w:tc>
        <w:tc>
          <w:tcPr>
            <w:tcW w:type="dxa" w:w="2351"/>
          </w:tcPr>
          <w:p>
            <w:r/>
            <w:r>
              <w:rPr>
                <w:sz w:val="19"/>
              </w:rPr>
              <w:t>JSONB</w:t>
            </w:r>
          </w:p>
        </w:tc>
        <w:tc>
          <w:tcPr>
            <w:tcW w:type="dxa" w:w="2351"/>
          </w:tcPr>
          <w:p>
            <w:r/>
            <w:r>
              <w:rPr>
                <w:sz w:val="19"/>
              </w:rPr>
              <w:t>Sí</w:t>
            </w:r>
          </w:p>
        </w:tc>
        <w:tc>
          <w:tcPr>
            <w:tcW w:type="dxa" w:w="2351"/>
          </w:tcPr>
          <w:p>
            <w:r/>
            <w:r>
              <w:rPr>
                <w:sz w:val="19"/>
              </w:rPr>
              <w:t>Array de mediciones o [defectivos, n]</w:t>
            </w:r>
          </w:p>
        </w:tc>
      </w:tr>
      <w:tr>
        <w:tc>
          <w:tcPr>
            <w:tcW w:type="dxa" w:w="2351"/>
          </w:tcPr>
          <w:p>
            <w:r/>
            <w:r>
              <w:rPr>
                <w:sz w:val="19"/>
              </w:rPr>
              <w:t>fecha_muestra</w:t>
            </w:r>
          </w:p>
        </w:tc>
        <w:tc>
          <w:tcPr>
            <w:tcW w:type="dxa" w:w="2351"/>
          </w:tcPr>
          <w:p>
            <w:r/>
            <w:r>
              <w:rPr>
                <w:sz w:val="19"/>
              </w:rPr>
              <w:t>TIMESTAMPTZ</w:t>
            </w:r>
          </w:p>
        </w:tc>
        <w:tc>
          <w:tcPr>
            <w:tcW w:type="dxa" w:w="2351"/>
          </w:tcPr>
          <w:p>
            <w:r/>
            <w:r>
              <w:rPr>
                <w:sz w:val="19"/>
              </w:rPr>
              <w:t>Auto (NOW)</w:t>
            </w:r>
          </w:p>
        </w:tc>
        <w:tc>
          <w:tcPr>
            <w:tcW w:type="dxa" w:w="2351"/>
          </w:tcPr>
          <w:p>
            <w:r/>
            <w:r>
              <w:rPr>
                <w:sz w:val="19"/>
              </w:rPr>
              <w:t>Fecha de captura</w:t>
            </w:r>
          </w:p>
        </w:tc>
      </w:tr>
    </w:tbl>
    <w:p>
      <w:pPr>
        <w:spacing w:after="120"/>
      </w:pPr>
    </w:p>
    <w:p>
      <w:pPr>
        <w:pStyle w:val="Heading2"/>
      </w:pPr>
      <w:r>
        <w:t>6.3 Formato del campo 'valores'</w:t>
      </w:r>
    </w:p>
    <w:p>
      <w:r>
        <w:t>El contenido depende del tipo_grafico del estudio asociado: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005CAB"/>
            <w:vAlign w:val="center"/>
          </w:tcPr>
          <w:p>
            <w:r/>
            <w:r>
              <w:rPr>
                <w:b/>
                <w:color w:val="FFFFFF"/>
                <w:sz w:val="20"/>
              </w:rPr>
              <w:t>Tipo de gráfico</w:t>
            </w:r>
          </w:p>
        </w:tc>
        <w:tc>
          <w:tcPr>
            <w:tcW w:type="dxa" w:w="3135"/>
            <w:shd w:val="clear" w:color="auto" w:fill="005CAB"/>
            <w:vAlign w:val="center"/>
          </w:tcPr>
          <w:p>
            <w:r/>
            <w:r>
              <w:rPr>
                <w:b/>
                <w:color w:val="FFFFFF"/>
                <w:sz w:val="20"/>
              </w:rPr>
              <w:t>Formato JSON</w:t>
            </w:r>
          </w:p>
        </w:tc>
        <w:tc>
          <w:tcPr>
            <w:tcW w:type="dxa" w:w="3135"/>
            <w:shd w:val="clear" w:color="auto" w:fill="005CAB"/>
            <w:vAlign w:val="center"/>
          </w:tcPr>
          <w:p>
            <w:r/>
            <w:r>
              <w:rPr>
                <w:b/>
                <w:color w:val="FFFFFF"/>
                <w:sz w:val="20"/>
              </w:rPr>
              <w:t>Ejemplo</w:t>
            </w:r>
          </w:p>
        </w:tc>
      </w:tr>
      <w:tr>
        <w:tc>
          <w:tcPr>
            <w:tcW w:type="dxa" w:w="3135"/>
          </w:tcPr>
          <w:p>
            <w:r/>
            <w:r>
              <w:rPr>
                <w:sz w:val="19"/>
              </w:rPr>
              <w:t>xr / xs</w:t>
            </w:r>
          </w:p>
        </w:tc>
        <w:tc>
          <w:tcPr>
            <w:tcW w:type="dxa" w:w="3135"/>
          </w:tcPr>
          <w:p>
            <w:r/>
            <w:r>
              <w:rPr>
                <w:sz w:val="19"/>
              </w:rPr>
              <w:t>[v1, v2, ..., vn]</w:t>
            </w:r>
          </w:p>
        </w:tc>
        <w:tc>
          <w:tcPr>
            <w:tcW w:type="dxa" w:w="3135"/>
          </w:tcPr>
          <w:p>
            <w:r/>
            <w:r>
              <w:rPr>
                <w:sz w:val="19"/>
              </w:rPr>
              <w:t>[248.5, 251.2, 249.8, 250.1, 249.9]</w:t>
            </w:r>
          </w:p>
        </w:tc>
      </w:tr>
      <w:tr>
        <w:tc>
          <w:tcPr>
            <w:tcW w:type="dxa" w:w="3135"/>
          </w:tcPr>
          <w:p>
            <w:r/>
            <w:r>
              <w:rPr>
                <w:sz w:val="19"/>
              </w:rPr>
              <w:t>p</w:t>
            </w:r>
          </w:p>
        </w:tc>
        <w:tc>
          <w:tcPr>
            <w:tcW w:type="dxa" w:w="3135"/>
          </w:tcPr>
          <w:p>
            <w:r/>
            <w:r>
              <w:rPr>
                <w:sz w:val="19"/>
              </w:rPr>
              <w:t>[defectivos, n]</w:t>
            </w:r>
          </w:p>
        </w:tc>
        <w:tc>
          <w:tcPr>
            <w:tcW w:type="dxa" w:w="3135"/>
          </w:tcPr>
          <w:p>
            <w:r/>
            <w:r>
              <w:rPr>
                <w:sz w:val="19"/>
              </w:rPr>
              <w:t>[7, 100]</w:t>
            </w:r>
          </w:p>
        </w:tc>
      </w:tr>
      <w:tr>
        <w:tc>
          <w:tcPr>
            <w:tcW w:type="dxa" w:w="3135"/>
          </w:tcPr>
          <w:p>
            <w:r/>
            <w:r>
              <w:rPr>
                <w:sz w:val="19"/>
              </w:rPr>
              <w:t>np</w:t>
            </w:r>
          </w:p>
        </w:tc>
        <w:tc>
          <w:tcPr>
            <w:tcW w:type="dxa" w:w="3135"/>
          </w:tcPr>
          <w:p>
            <w:r/>
            <w:r>
              <w:rPr>
                <w:sz w:val="19"/>
              </w:rPr>
              <w:t>[defectivos, n]</w:t>
            </w:r>
          </w:p>
        </w:tc>
        <w:tc>
          <w:tcPr>
            <w:tcW w:type="dxa" w:w="3135"/>
          </w:tcPr>
          <w:p>
            <w:r/>
            <w:r>
              <w:rPr>
                <w:sz w:val="19"/>
              </w:rPr>
              <w:t>[4, 50]</w:t>
            </w:r>
          </w:p>
        </w:tc>
      </w:tr>
      <w:tr>
        <w:tc>
          <w:tcPr>
            <w:tcW w:type="dxa" w:w="3135"/>
          </w:tcPr>
          <w:p>
            <w:r/>
            <w:r>
              <w:rPr>
                <w:sz w:val="19"/>
              </w:rPr>
              <w:t>c</w:t>
            </w:r>
          </w:p>
        </w:tc>
        <w:tc>
          <w:tcPr>
            <w:tcW w:type="dxa" w:w="3135"/>
          </w:tcPr>
          <w:p>
            <w:r/>
            <w:r>
              <w:rPr>
                <w:sz w:val="19"/>
              </w:rPr>
              <w:t>[defectos]</w:t>
            </w:r>
          </w:p>
        </w:tc>
        <w:tc>
          <w:tcPr>
            <w:tcW w:type="dxa" w:w="3135"/>
          </w:tcPr>
          <w:p>
            <w:r/>
            <w:r>
              <w:rPr>
                <w:sz w:val="19"/>
              </w:rPr>
              <w:t>[6]</w:t>
            </w:r>
          </w:p>
        </w:tc>
      </w:tr>
      <w:tr>
        <w:tc>
          <w:tcPr>
            <w:tcW w:type="dxa" w:w="3135"/>
          </w:tcPr>
          <w:p>
            <w:r/>
            <w:r>
              <w:rPr>
                <w:sz w:val="19"/>
              </w:rPr>
              <w:t>u</w:t>
            </w:r>
          </w:p>
        </w:tc>
        <w:tc>
          <w:tcPr>
            <w:tcW w:type="dxa" w:w="3135"/>
          </w:tcPr>
          <w:p>
            <w:r/>
            <w:r>
              <w:rPr>
                <w:sz w:val="19"/>
              </w:rPr>
              <w:t>[defectos, n]</w:t>
            </w:r>
          </w:p>
        </w:tc>
        <w:tc>
          <w:tcPr>
            <w:tcW w:type="dxa" w:w="3135"/>
          </w:tcPr>
          <w:p>
            <w:r/>
            <w:r>
              <w:rPr>
                <w:sz w:val="19"/>
              </w:rPr>
              <w:t>[12, 8]</w:t>
            </w:r>
          </w:p>
        </w:tc>
      </w:tr>
    </w:tbl>
    <w:p>
      <w:pPr>
        <w:spacing w:after="120"/>
      </w:pPr>
    </w:p>
    <w:p>
      <w:pPr>
        <w:pStyle w:val="Heading1"/>
      </w:pPr>
      <w:r>
        <w:t>7. Tipos de datos y justificación</w:t>
      </w:r>
    </w:p>
    <w:p>
      <w:pPr>
        <w:pStyle w:val="ListBullet"/>
      </w:pPr>
      <w:r>
        <w:rPr>
          <w:b/>
        </w:rPr>
        <w:t xml:space="preserve">BIGSERIAL: </w:t>
      </w:r>
      <w:r>
        <w:t>PK autoincremental de 64 bits. Cabida holgada para crecimiento.</w:t>
      </w:r>
    </w:p>
    <w:p>
      <w:pPr>
        <w:pStyle w:val="ListBullet"/>
      </w:pPr>
      <w:r>
        <w:rPr>
          <w:b/>
        </w:rPr>
        <w:t xml:space="preserve">TEXT: </w:t>
      </w:r>
      <w:r>
        <w:t>preferido sobre VARCHAR(n) en Postgres porque no impone límite artificial y el costo es idéntico.</w:t>
      </w:r>
    </w:p>
    <w:p>
      <w:pPr>
        <w:pStyle w:val="ListBullet"/>
      </w:pPr>
      <w:r>
        <w:rPr>
          <w:b/>
        </w:rPr>
        <w:t xml:space="preserve">DOUBLE PRECISION: </w:t>
      </w:r>
      <w:r>
        <w:t>para LSL/USL — las especificaciones técnicas pueden requerir decimales (p. ej. pH = 6.85).</w:t>
      </w:r>
    </w:p>
    <w:p>
      <w:pPr>
        <w:pStyle w:val="ListBullet"/>
      </w:pPr>
      <w:r>
        <w:rPr>
          <w:b/>
        </w:rPr>
        <w:t xml:space="preserve">INTEGER: </w:t>
      </w:r>
      <w:r>
        <w:t>para tamaño de subgrupo y número de subgrupo.</w:t>
      </w:r>
    </w:p>
    <w:p>
      <w:pPr>
        <w:pStyle w:val="ListBullet"/>
      </w:pPr>
      <w:r>
        <w:rPr>
          <w:b/>
        </w:rPr>
        <w:t xml:space="preserve">TIMESTAMPTZ: </w:t>
      </w:r>
      <w:r>
        <w:t>siempre con zona horaria. Se almacena en UTC; las aplicaciones convierten al mostrar.</w:t>
      </w:r>
    </w:p>
    <w:p>
      <w:pPr>
        <w:pStyle w:val="ListBullet"/>
      </w:pPr>
      <w:r>
        <w:rPr>
          <w:b/>
        </w:rPr>
        <w:t xml:space="preserve">JSONB: </w:t>
      </w:r>
      <w:r>
        <w:t>binario, indexable, eficiente. Permite almacenar la unidad lógica del subgrupo sin perder consultabilidad.</w:t>
      </w:r>
    </w:p>
    <w:p>
      <w:pPr>
        <w:pStyle w:val="Heading1"/>
      </w:pPr>
      <w:r>
        <w:t>8. Restricciones e índices</w:t>
      </w:r>
    </w:p>
    <w:p>
      <w:pPr>
        <w:pStyle w:val="Heading2"/>
      </w:pPr>
      <w:r>
        <w:t>8.1 CHECK constraints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005CAB"/>
            <w:vAlign w:val="center"/>
          </w:tcPr>
          <w:p>
            <w:r/>
            <w:r>
              <w:rPr>
                <w:b/>
                <w:color w:val="FFFFFF"/>
                <w:sz w:val="20"/>
              </w:rPr>
              <w:t>Tabla</w:t>
            </w:r>
          </w:p>
        </w:tc>
        <w:tc>
          <w:tcPr>
            <w:tcW w:type="dxa" w:w="2351"/>
            <w:shd w:val="clear" w:color="auto" w:fill="005CAB"/>
            <w:vAlign w:val="center"/>
          </w:tcPr>
          <w:p>
            <w:r/>
            <w:r>
              <w:rPr>
                <w:b/>
                <w:color w:val="FFFFFF"/>
                <w:sz w:val="20"/>
              </w:rPr>
              <w:t>Columna</w:t>
            </w:r>
          </w:p>
        </w:tc>
        <w:tc>
          <w:tcPr>
            <w:tcW w:type="dxa" w:w="2351"/>
            <w:shd w:val="clear" w:color="auto" w:fill="005CAB"/>
            <w:vAlign w:val="center"/>
          </w:tcPr>
          <w:p>
            <w:r/>
            <w:r>
              <w:rPr>
                <w:b/>
                <w:color w:val="FFFFFF"/>
                <w:sz w:val="20"/>
              </w:rPr>
              <w:t>Regla</w:t>
            </w:r>
          </w:p>
        </w:tc>
        <w:tc>
          <w:tcPr>
            <w:tcW w:type="dxa" w:w="2351"/>
            <w:shd w:val="clear" w:color="auto" w:fill="005CAB"/>
            <w:vAlign w:val="center"/>
          </w:tcPr>
          <w:p>
            <w:r/>
            <w:r>
              <w:rPr>
                <w:b/>
                <w:color w:val="FFFFFF"/>
                <w:sz w:val="20"/>
              </w:rPr>
              <w:t>Por qué</w:t>
            </w:r>
          </w:p>
        </w:tc>
      </w:tr>
      <w:tr>
        <w:tc>
          <w:tcPr>
            <w:tcW w:type="dxa" w:w="2351"/>
          </w:tcPr>
          <w:p>
            <w:r/>
            <w:r>
              <w:rPr>
                <w:sz w:val="19"/>
              </w:rPr>
              <w:t>estudios</w:t>
            </w:r>
          </w:p>
        </w:tc>
        <w:tc>
          <w:tcPr>
            <w:tcW w:type="dxa" w:w="2351"/>
          </w:tcPr>
          <w:p>
            <w:r/>
            <w:r>
              <w:rPr>
                <w:sz w:val="19"/>
              </w:rPr>
              <w:t>tipo</w:t>
            </w:r>
          </w:p>
        </w:tc>
        <w:tc>
          <w:tcPr>
            <w:tcW w:type="dxa" w:w="2351"/>
          </w:tcPr>
          <w:p>
            <w:r/>
            <w:r>
              <w:rPr>
                <w:sz w:val="19"/>
              </w:rPr>
              <w:t>IN ('variable', 'atributo')</w:t>
            </w:r>
          </w:p>
        </w:tc>
        <w:tc>
          <w:tcPr>
            <w:tcW w:type="dxa" w:w="2351"/>
          </w:tcPr>
          <w:p>
            <w:r/>
            <w:r>
              <w:rPr>
                <w:sz w:val="19"/>
              </w:rPr>
              <w:t>Domina los valores válidos</w:t>
            </w:r>
          </w:p>
        </w:tc>
      </w:tr>
      <w:tr>
        <w:tc>
          <w:tcPr>
            <w:tcW w:type="dxa" w:w="2351"/>
          </w:tcPr>
          <w:p>
            <w:r/>
            <w:r>
              <w:rPr>
                <w:sz w:val="19"/>
              </w:rPr>
              <w:t>estudios</w:t>
            </w:r>
          </w:p>
        </w:tc>
        <w:tc>
          <w:tcPr>
            <w:tcW w:type="dxa" w:w="2351"/>
          </w:tcPr>
          <w:p>
            <w:r/>
            <w:r>
              <w:rPr>
                <w:sz w:val="19"/>
              </w:rPr>
              <w:t>tipo_grafico</w:t>
            </w:r>
          </w:p>
        </w:tc>
        <w:tc>
          <w:tcPr>
            <w:tcW w:type="dxa" w:w="2351"/>
          </w:tcPr>
          <w:p>
            <w:r/>
            <w:r>
              <w:rPr>
                <w:sz w:val="19"/>
              </w:rPr>
              <w:t>IN (xr, xs, p, np, c, u)</w:t>
            </w:r>
          </w:p>
        </w:tc>
        <w:tc>
          <w:tcPr>
            <w:tcW w:type="dxa" w:w="2351"/>
          </w:tcPr>
          <w:p>
            <w:r/>
            <w:r>
              <w:rPr>
                <w:sz w:val="19"/>
              </w:rPr>
              <w:t>Solo los 6 gráficos implementados</w:t>
            </w:r>
          </w:p>
        </w:tc>
      </w:tr>
      <w:tr>
        <w:tc>
          <w:tcPr>
            <w:tcW w:type="dxa" w:w="2351"/>
          </w:tcPr>
          <w:p>
            <w:r/>
            <w:r>
              <w:rPr>
                <w:sz w:val="19"/>
              </w:rPr>
              <w:t>estudios</w:t>
            </w:r>
          </w:p>
        </w:tc>
        <w:tc>
          <w:tcPr>
            <w:tcW w:type="dxa" w:w="2351"/>
          </w:tcPr>
          <w:p>
            <w:r/>
            <w:r>
              <w:rPr>
                <w:sz w:val="19"/>
              </w:rPr>
              <w:t>tamano_subgrupo</w:t>
            </w:r>
          </w:p>
        </w:tc>
        <w:tc>
          <w:tcPr>
            <w:tcW w:type="dxa" w:w="2351"/>
          </w:tcPr>
          <w:p>
            <w:r/>
            <w:r>
              <w:rPr>
                <w:sz w:val="19"/>
              </w:rPr>
              <w:t>NULL o 2..25</w:t>
            </w:r>
          </w:p>
        </w:tc>
        <w:tc>
          <w:tcPr>
            <w:tcW w:type="dxa" w:w="2351"/>
          </w:tcPr>
          <w:p>
            <w:r/>
            <w:r>
              <w:rPr>
                <w:sz w:val="19"/>
              </w:rPr>
              <w:t>Constantes de Shewhart tabuladas hasta n=25</w:t>
            </w:r>
          </w:p>
        </w:tc>
      </w:tr>
      <w:tr>
        <w:tc>
          <w:tcPr>
            <w:tcW w:type="dxa" w:w="2351"/>
          </w:tcPr>
          <w:p>
            <w:r/>
            <w:r>
              <w:rPr>
                <w:sz w:val="19"/>
              </w:rPr>
              <w:t>muestras</w:t>
            </w:r>
          </w:p>
        </w:tc>
        <w:tc>
          <w:tcPr>
            <w:tcW w:type="dxa" w:w="2351"/>
          </w:tcPr>
          <w:p>
            <w:r/>
            <w:r>
              <w:rPr>
                <w:sz w:val="19"/>
              </w:rPr>
              <w:t>subgrupo</w:t>
            </w:r>
          </w:p>
        </w:tc>
        <w:tc>
          <w:tcPr>
            <w:tcW w:type="dxa" w:w="2351"/>
          </w:tcPr>
          <w:p>
            <w:r/>
            <w:r>
              <w:rPr>
                <w:sz w:val="19"/>
              </w:rPr>
              <w:t>&gt;= 1</w:t>
            </w:r>
          </w:p>
        </w:tc>
        <w:tc>
          <w:tcPr>
            <w:tcW w:type="dxa" w:w="2351"/>
          </w:tcPr>
          <w:p>
            <w:r/>
            <w:r>
              <w:rPr>
                <w:sz w:val="19"/>
              </w:rPr>
              <w:t>Numeración natural</w:t>
            </w:r>
          </w:p>
        </w:tc>
      </w:tr>
    </w:tbl>
    <w:p>
      <w:pPr>
        <w:spacing w:after="120"/>
      </w:pPr>
    </w:p>
    <w:p>
      <w:pPr>
        <w:pStyle w:val="Heading2"/>
      </w:pPr>
      <w:r>
        <w:t>8.2 Foreign key</w:t>
      </w:r>
    </w:p>
    <w:p>
      <w:r>
        <w:t>muestras.estudio_id REFERENCES estudios(id) ON DELETE CASCADE. Al eliminar un estudio se borran automáticamente todas sus muestras, evitando filas huérfanas.</w:t>
      </w:r>
    </w:p>
    <w:p>
      <w:pPr>
        <w:pStyle w:val="Heading2"/>
      </w:pPr>
      <w:r>
        <w:t>8.3 Índices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005CAB"/>
            <w:vAlign w:val="center"/>
          </w:tcPr>
          <w:p>
            <w:r/>
            <w:r>
              <w:rPr>
                <w:b/>
                <w:color w:val="FFFFFF"/>
                <w:sz w:val="20"/>
              </w:rPr>
              <w:t>Nombre</w:t>
            </w:r>
          </w:p>
        </w:tc>
        <w:tc>
          <w:tcPr>
            <w:tcW w:type="dxa" w:w="2351"/>
            <w:shd w:val="clear" w:color="auto" w:fill="005CAB"/>
            <w:vAlign w:val="center"/>
          </w:tcPr>
          <w:p>
            <w:r/>
            <w:r>
              <w:rPr>
                <w:b/>
                <w:color w:val="FFFFFF"/>
                <w:sz w:val="20"/>
              </w:rPr>
              <w:t>Tabla</w:t>
            </w:r>
          </w:p>
        </w:tc>
        <w:tc>
          <w:tcPr>
            <w:tcW w:type="dxa" w:w="2351"/>
            <w:shd w:val="clear" w:color="auto" w:fill="005CAB"/>
            <w:vAlign w:val="center"/>
          </w:tcPr>
          <w:p>
            <w:r/>
            <w:r>
              <w:rPr>
                <w:b/>
                <w:color w:val="FFFFFF"/>
                <w:sz w:val="20"/>
              </w:rPr>
              <w:t>Columna(s)</w:t>
            </w:r>
          </w:p>
        </w:tc>
        <w:tc>
          <w:tcPr>
            <w:tcW w:type="dxa" w:w="2351"/>
            <w:shd w:val="clear" w:color="auto" w:fill="005CAB"/>
            <w:vAlign w:val="center"/>
          </w:tcPr>
          <w:p>
            <w:r/>
            <w:r>
              <w:rPr>
                <w:b/>
                <w:color w:val="FFFFFF"/>
                <w:sz w:val="20"/>
              </w:rPr>
              <w:t>Propósito</w:t>
            </w:r>
          </w:p>
        </w:tc>
      </w:tr>
      <w:tr>
        <w:tc>
          <w:tcPr>
            <w:tcW w:type="dxa" w:w="2351"/>
          </w:tcPr>
          <w:p>
            <w:r/>
            <w:r>
              <w:rPr>
                <w:sz w:val="19"/>
              </w:rPr>
              <w:t>idx_muestras_estudio</w:t>
            </w:r>
          </w:p>
        </w:tc>
        <w:tc>
          <w:tcPr>
            <w:tcW w:type="dxa" w:w="2351"/>
          </w:tcPr>
          <w:p>
            <w:r/>
            <w:r>
              <w:rPr>
                <w:sz w:val="19"/>
              </w:rPr>
              <w:t>muestras</w:t>
            </w:r>
          </w:p>
        </w:tc>
        <w:tc>
          <w:tcPr>
            <w:tcW w:type="dxa" w:w="2351"/>
          </w:tcPr>
          <w:p>
            <w:r/>
            <w:r>
              <w:rPr>
                <w:sz w:val="19"/>
              </w:rPr>
              <w:t>estudio_id</w:t>
            </w:r>
          </w:p>
        </w:tc>
        <w:tc>
          <w:tcPr>
            <w:tcW w:type="dxa" w:w="2351"/>
          </w:tcPr>
          <w:p>
            <w:r/>
            <w:r>
              <w:rPr>
                <w:sz w:val="19"/>
              </w:rPr>
              <w:t>JOIN frecuente al cargar la página de detalle</w:t>
            </w:r>
          </w:p>
        </w:tc>
      </w:tr>
      <w:tr>
        <w:tc>
          <w:tcPr>
            <w:tcW w:type="dxa" w:w="2351"/>
          </w:tcPr>
          <w:p>
            <w:r/>
            <w:r>
              <w:rPr>
                <w:sz w:val="19"/>
              </w:rPr>
              <w:t>idx_estudios_fecha</w:t>
            </w:r>
          </w:p>
        </w:tc>
        <w:tc>
          <w:tcPr>
            <w:tcW w:type="dxa" w:w="2351"/>
          </w:tcPr>
          <w:p>
            <w:r/>
            <w:r>
              <w:rPr>
                <w:sz w:val="19"/>
              </w:rPr>
              <w:t>estudios</w:t>
            </w:r>
          </w:p>
        </w:tc>
        <w:tc>
          <w:tcPr>
            <w:tcW w:type="dxa" w:w="2351"/>
          </w:tcPr>
          <w:p>
            <w:r/>
            <w:r>
              <w:rPr>
                <w:sz w:val="19"/>
              </w:rPr>
              <w:t>fecha_creacion DESC</w:t>
            </w:r>
          </w:p>
        </w:tc>
        <w:tc>
          <w:tcPr>
            <w:tcW w:type="dxa" w:w="2351"/>
          </w:tcPr>
          <w:p>
            <w:r/>
            <w:r>
              <w:rPr>
                <w:sz w:val="19"/>
              </w:rPr>
              <w:t>Listado por más recientes (dashboard)</w:t>
            </w:r>
          </w:p>
        </w:tc>
      </w:tr>
      <w:tr>
        <w:tc>
          <w:tcPr>
            <w:tcW w:type="dxa" w:w="2351"/>
          </w:tcPr>
          <w:p>
            <w:r/>
            <w:r>
              <w:rPr>
                <w:sz w:val="19"/>
              </w:rPr>
              <w:t>idx_estudios_producto</w:t>
            </w:r>
          </w:p>
        </w:tc>
        <w:tc>
          <w:tcPr>
            <w:tcW w:type="dxa" w:w="2351"/>
          </w:tcPr>
          <w:p>
            <w:r/>
            <w:r>
              <w:rPr>
                <w:sz w:val="19"/>
              </w:rPr>
              <w:t>estudios</w:t>
            </w:r>
          </w:p>
        </w:tc>
        <w:tc>
          <w:tcPr>
            <w:tcW w:type="dxa" w:w="2351"/>
          </w:tcPr>
          <w:p>
            <w:r/>
            <w:r>
              <w:rPr>
                <w:sz w:val="19"/>
              </w:rPr>
              <w:t>producto</w:t>
            </w:r>
          </w:p>
        </w:tc>
        <w:tc>
          <w:tcPr>
            <w:tcW w:type="dxa" w:w="2351"/>
          </w:tcPr>
          <w:p>
            <w:r/>
            <w:r>
              <w:rPr>
                <w:sz w:val="19"/>
              </w:rPr>
              <w:t>Filtro/búsqueda por producto</w:t>
            </w:r>
          </w:p>
        </w:tc>
      </w:tr>
    </w:tbl>
    <w:p>
      <w:pPr>
        <w:spacing w:after="120"/>
      </w:pPr>
    </w:p>
    <w:p>
      <w:pPr>
        <w:pStyle w:val="Heading1"/>
      </w:pPr>
      <w:r>
        <w:t>9. Configuración y variables de entorno</w:t>
      </w:r>
    </w:p>
    <w:p>
      <w:r>
        <w:t>La aplicación elige el backend según el entorno: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005CAB"/>
            <w:vAlign w:val="center"/>
          </w:tcPr>
          <w:p>
            <w:r/>
            <w:r>
              <w:rPr>
                <w:b/>
                <w:color w:val="FFFFFF"/>
                <w:sz w:val="20"/>
              </w:rPr>
              <w:t>Variable</w:t>
            </w:r>
          </w:p>
        </w:tc>
        <w:tc>
          <w:tcPr>
            <w:tcW w:type="dxa" w:w="3135"/>
            <w:shd w:val="clear" w:color="auto" w:fill="005CAB"/>
            <w:vAlign w:val="center"/>
          </w:tcPr>
          <w:p>
            <w:r/>
            <w:r>
              <w:rPr>
                <w:b/>
                <w:color w:val="FFFFFF"/>
                <w:sz w:val="20"/>
              </w:rPr>
              <w:t>Obligatoria</w:t>
            </w:r>
          </w:p>
        </w:tc>
        <w:tc>
          <w:tcPr>
            <w:tcW w:type="dxa" w:w="3135"/>
            <w:shd w:val="clear" w:color="auto" w:fill="005CAB"/>
            <w:vAlign w:val="center"/>
          </w:tcPr>
          <w:p>
            <w:r/>
            <w:r>
              <w:rPr>
                <w:b/>
                <w:color w:val="FFFFFF"/>
                <w:sz w:val="20"/>
              </w:rPr>
              <w:t>Descripción</w:t>
            </w:r>
          </w:p>
        </w:tc>
      </w:tr>
      <w:tr>
        <w:tc>
          <w:tcPr>
            <w:tcW w:type="dxa" w:w="3135"/>
          </w:tcPr>
          <w:p>
            <w:r/>
            <w:r>
              <w:rPr>
                <w:sz w:val="19"/>
              </w:rPr>
              <w:t>DATABASE_URL</w:t>
            </w:r>
          </w:p>
        </w:tc>
        <w:tc>
          <w:tcPr>
            <w:tcW w:type="dxa" w:w="3135"/>
          </w:tcPr>
          <w:p>
            <w:r/>
            <w:r>
              <w:rPr>
                <w:sz w:val="19"/>
              </w:rPr>
              <w:t>Sí en producción</w:t>
            </w:r>
          </w:p>
        </w:tc>
        <w:tc>
          <w:tcPr>
            <w:tcW w:type="dxa" w:w="3135"/>
          </w:tcPr>
          <w:p>
            <w:r/>
            <w:r>
              <w:rPr>
                <w:sz w:val="19"/>
              </w:rPr>
              <w:t>URI de Postgres (Transaction Pooler de Supabase)</w:t>
            </w:r>
          </w:p>
        </w:tc>
      </w:tr>
      <w:tr>
        <w:tc>
          <w:tcPr>
            <w:tcW w:type="dxa" w:w="3135"/>
          </w:tcPr>
          <w:p>
            <w:r/>
            <w:r>
              <w:rPr>
                <w:sz w:val="19"/>
              </w:rPr>
              <w:t>SECRET_KEY</w:t>
            </w:r>
          </w:p>
        </w:tc>
        <w:tc>
          <w:tcPr>
            <w:tcW w:type="dxa" w:w="3135"/>
          </w:tcPr>
          <w:p>
            <w:r/>
            <w:r>
              <w:rPr>
                <w:sz w:val="19"/>
              </w:rPr>
              <w:t>Recomendada</w:t>
            </w:r>
          </w:p>
        </w:tc>
        <w:tc>
          <w:tcPr>
            <w:tcW w:type="dxa" w:w="3135"/>
          </w:tcPr>
          <w:p>
            <w:r/>
            <w:r>
              <w:rPr>
                <w:sz w:val="19"/>
              </w:rPr>
              <w:t>Clave de sesión Flask</w:t>
            </w:r>
          </w:p>
        </w:tc>
      </w:tr>
      <w:tr>
        <w:tc>
          <w:tcPr>
            <w:tcW w:type="dxa" w:w="3135"/>
          </w:tcPr>
          <w:p>
            <w:r/>
            <w:r>
              <w:rPr>
                <w:sz w:val="19"/>
              </w:rPr>
              <w:t>DB_PATH</w:t>
            </w:r>
          </w:p>
        </w:tc>
        <w:tc>
          <w:tcPr>
            <w:tcW w:type="dxa" w:w="3135"/>
          </w:tcPr>
          <w:p>
            <w:r/>
            <w:r>
              <w:rPr>
                <w:sz w:val="19"/>
              </w:rPr>
              <w:t>No</w:t>
            </w:r>
          </w:p>
        </w:tc>
        <w:tc>
          <w:tcPr>
            <w:tcW w:type="dxa" w:w="3135"/>
          </w:tcPr>
          <w:p>
            <w:r/>
            <w:r>
              <w:rPr>
                <w:sz w:val="19"/>
              </w:rPr>
              <w:t>Override de ruta SQLite local</w:t>
            </w:r>
          </w:p>
        </w:tc>
      </w:tr>
      <w:tr>
        <w:tc>
          <w:tcPr>
            <w:tcW w:type="dxa" w:w="3135"/>
          </w:tcPr>
          <w:p>
            <w:r/>
            <w:r>
              <w:rPr>
                <w:sz w:val="19"/>
              </w:rPr>
              <w:t>VERCEL</w:t>
            </w:r>
          </w:p>
        </w:tc>
        <w:tc>
          <w:tcPr>
            <w:tcW w:type="dxa" w:w="3135"/>
          </w:tcPr>
          <w:p>
            <w:r/>
            <w:r>
              <w:rPr>
                <w:sz w:val="19"/>
              </w:rPr>
              <w:t>Auto</w:t>
            </w:r>
          </w:p>
        </w:tc>
        <w:tc>
          <w:tcPr>
            <w:tcW w:type="dxa" w:w="3135"/>
          </w:tcPr>
          <w:p>
            <w:r/>
            <w:r>
              <w:rPr>
                <w:sz w:val="19"/>
              </w:rPr>
              <w:t>Vercel la define; se usa para SQLite en /tmp</w:t>
            </w:r>
          </w:p>
        </w:tc>
      </w:tr>
    </w:tbl>
    <w:p>
      <w:pPr>
        <w:spacing w:after="120"/>
      </w:pPr>
    </w:p>
    <w:p>
      <w:pPr>
        <w:pStyle w:val="Heading2"/>
      </w:pPr>
      <w:r>
        <w:t>9.1 Formato de DATABASE_URL</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postgresql://postgres.kicalhpqppkknqtjhtml:[YOUR-PASSWORD]@aws-0-&lt;region&gt;.pooler.supabase.com:6543/postgres</w:t>
            </w:r>
          </w:p>
        </w:tc>
      </w:tr>
    </w:tbl>
    <w:p>
      <w:pPr>
        <w:spacing w:after="120"/>
      </w:pPr>
    </w:p>
    <w:p>
      <w:r>
        <w:t>Donde [YOUR-PASSWORD] se reemplaza por la contraseña real (obtenida de Supabase Project Settings → Database). La región (us-east-1, sa-east-1, etc.) depende de dónde se creó el proyecto.</w:t>
      </w:r>
    </w:p>
    <w:p>
      <w:pPr>
        <w:pStyle w:val="Heading1"/>
      </w:pPr>
      <w:r>
        <w:t>10. Operaciones CRUD soportadas</w:t>
      </w:r>
    </w:p>
    <w:p>
      <w:r>
        <w:t>La interfaz pública de la capa de datos está en app/database.py (dispatcher). Las funciones disponibles son:</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005CAB"/>
            <w:vAlign w:val="center"/>
          </w:tcPr>
          <w:p>
            <w:r/>
            <w:r>
              <w:rPr>
                <w:b/>
                <w:color w:val="FFFFFF"/>
                <w:sz w:val="20"/>
              </w:rPr>
              <w:t>Función</w:t>
            </w:r>
          </w:p>
        </w:tc>
        <w:tc>
          <w:tcPr>
            <w:tcW w:type="dxa" w:w="4703"/>
            <w:shd w:val="clear" w:color="auto" w:fill="005CAB"/>
            <w:vAlign w:val="center"/>
          </w:tcPr>
          <w:p>
            <w:r/>
            <w:r>
              <w:rPr>
                <w:b/>
                <w:color w:val="FFFFFF"/>
                <w:sz w:val="20"/>
              </w:rPr>
              <w:t>Descripción</w:t>
            </w:r>
          </w:p>
        </w:tc>
      </w:tr>
      <w:tr>
        <w:tc>
          <w:tcPr>
            <w:tcW w:type="dxa" w:w="4703"/>
          </w:tcPr>
          <w:p>
            <w:r/>
            <w:r>
              <w:rPr>
                <w:sz w:val="19"/>
              </w:rPr>
              <w:t>init_db()</w:t>
            </w:r>
          </w:p>
        </w:tc>
        <w:tc>
          <w:tcPr>
            <w:tcW w:type="dxa" w:w="4703"/>
          </w:tcPr>
          <w:p>
            <w:r/>
            <w:r>
              <w:rPr>
                <w:sz w:val="19"/>
              </w:rPr>
              <w:t>Crea las tablas si no existen (idempotente)</w:t>
            </w:r>
          </w:p>
        </w:tc>
      </w:tr>
      <w:tr>
        <w:tc>
          <w:tcPr>
            <w:tcW w:type="dxa" w:w="4703"/>
          </w:tcPr>
          <w:p>
            <w:r/>
            <w:r>
              <w:rPr>
                <w:sz w:val="19"/>
              </w:rPr>
              <w:t>crear_estudio(payload)</w:t>
            </w:r>
          </w:p>
        </w:tc>
        <w:tc>
          <w:tcPr>
            <w:tcW w:type="dxa" w:w="4703"/>
          </w:tcPr>
          <w:p>
            <w:r/>
            <w:r>
              <w:rPr>
                <w:sz w:val="19"/>
              </w:rPr>
              <w:t>Inserta un estudio y devuelve su id</w:t>
            </w:r>
          </w:p>
        </w:tc>
      </w:tr>
      <w:tr>
        <w:tc>
          <w:tcPr>
            <w:tcW w:type="dxa" w:w="4703"/>
          </w:tcPr>
          <w:p>
            <w:r/>
            <w:r>
              <w:rPr>
                <w:sz w:val="19"/>
              </w:rPr>
              <w:t>listar_estudios()</w:t>
            </w:r>
          </w:p>
        </w:tc>
        <w:tc>
          <w:tcPr>
            <w:tcW w:type="dxa" w:w="4703"/>
          </w:tcPr>
          <w:p>
            <w:r/>
            <w:r>
              <w:rPr>
                <w:sz w:val="19"/>
              </w:rPr>
              <w:t>Devuelve todos los estudios ordenados por fecha desc</w:t>
            </w:r>
          </w:p>
        </w:tc>
      </w:tr>
      <w:tr>
        <w:tc>
          <w:tcPr>
            <w:tcW w:type="dxa" w:w="4703"/>
          </w:tcPr>
          <w:p>
            <w:r/>
            <w:r>
              <w:rPr>
                <w:sz w:val="19"/>
              </w:rPr>
              <w:t>obtener_estudio(id)</w:t>
            </w:r>
          </w:p>
        </w:tc>
        <w:tc>
          <w:tcPr>
            <w:tcW w:type="dxa" w:w="4703"/>
          </w:tcPr>
          <w:p>
            <w:r/>
            <w:r>
              <w:rPr>
                <w:sz w:val="19"/>
              </w:rPr>
              <w:t>Devuelve un estudio por id</w:t>
            </w:r>
          </w:p>
        </w:tc>
      </w:tr>
      <w:tr>
        <w:tc>
          <w:tcPr>
            <w:tcW w:type="dxa" w:w="4703"/>
          </w:tcPr>
          <w:p>
            <w:r/>
            <w:r>
              <w:rPr>
                <w:sz w:val="19"/>
              </w:rPr>
              <w:t>eliminar_estudio(id)</w:t>
            </w:r>
          </w:p>
        </w:tc>
        <w:tc>
          <w:tcPr>
            <w:tcW w:type="dxa" w:w="4703"/>
          </w:tcPr>
          <w:p>
            <w:r/>
            <w:r>
              <w:rPr>
                <w:sz w:val="19"/>
              </w:rPr>
              <w:t>Elimina estudio + sus muestras (cascada)</w:t>
            </w:r>
          </w:p>
        </w:tc>
      </w:tr>
      <w:tr>
        <w:tc>
          <w:tcPr>
            <w:tcW w:type="dxa" w:w="4703"/>
          </w:tcPr>
          <w:p>
            <w:r/>
            <w:r>
              <w:rPr>
                <w:sz w:val="19"/>
              </w:rPr>
              <w:t>agregar_muestra(estudio_id, subgrupo, valores)</w:t>
            </w:r>
          </w:p>
        </w:tc>
        <w:tc>
          <w:tcPr>
            <w:tcW w:type="dxa" w:w="4703"/>
          </w:tcPr>
          <w:p>
            <w:r/>
            <w:r>
              <w:rPr>
                <w:sz w:val="19"/>
              </w:rPr>
              <w:t>Una muestra individual</w:t>
            </w:r>
          </w:p>
        </w:tc>
      </w:tr>
      <w:tr>
        <w:tc>
          <w:tcPr>
            <w:tcW w:type="dxa" w:w="4703"/>
          </w:tcPr>
          <w:p>
            <w:r/>
            <w:r>
              <w:rPr>
                <w:sz w:val="19"/>
              </w:rPr>
              <w:t>agregar_muestras_bulk(estudio_id, muestras)</w:t>
            </w:r>
          </w:p>
        </w:tc>
        <w:tc>
          <w:tcPr>
            <w:tcW w:type="dxa" w:w="4703"/>
          </w:tcPr>
          <w:p>
            <w:r/>
            <w:r>
              <w:rPr>
                <w:sz w:val="19"/>
              </w:rPr>
              <w:t>Inserción masiva eficiente</w:t>
            </w:r>
          </w:p>
        </w:tc>
      </w:tr>
      <w:tr>
        <w:tc>
          <w:tcPr>
            <w:tcW w:type="dxa" w:w="4703"/>
          </w:tcPr>
          <w:p>
            <w:r/>
            <w:r>
              <w:rPr>
                <w:sz w:val="19"/>
              </w:rPr>
              <w:t>listar_muestras(estudio_id)</w:t>
            </w:r>
          </w:p>
        </w:tc>
        <w:tc>
          <w:tcPr>
            <w:tcW w:type="dxa" w:w="4703"/>
          </w:tcPr>
          <w:p>
            <w:r/>
            <w:r>
              <w:rPr>
                <w:sz w:val="19"/>
              </w:rPr>
              <w:t>Devuelve las muestras de un estudio</w:t>
            </w:r>
          </w:p>
        </w:tc>
      </w:tr>
      <w:tr>
        <w:tc>
          <w:tcPr>
            <w:tcW w:type="dxa" w:w="4703"/>
          </w:tcPr>
          <w:p>
            <w:r/>
            <w:r>
              <w:rPr>
                <w:sz w:val="19"/>
              </w:rPr>
              <w:t>eliminar_muestras(estudio_id)</w:t>
            </w:r>
          </w:p>
        </w:tc>
        <w:tc>
          <w:tcPr>
            <w:tcW w:type="dxa" w:w="4703"/>
          </w:tcPr>
          <w:p>
            <w:r/>
            <w:r>
              <w:rPr>
                <w:sz w:val="19"/>
              </w:rPr>
              <w:t>Borra todas las muestras de un estudio</w:t>
            </w:r>
          </w:p>
        </w:tc>
      </w:tr>
    </w:tbl>
    <w:p>
      <w:pPr>
        <w:spacing w:after="120"/>
      </w:pPr>
    </w:p>
    <w:p>
      <w:pPr>
        <w:pStyle w:val="Heading1"/>
      </w:pPr>
      <w:r>
        <w:t>11. Patrones de acceso desde la aplicación</w:t>
      </w:r>
    </w:p>
    <w:p>
      <w:pPr>
        <w:pStyle w:val="Heading2"/>
      </w:pPr>
      <w:r>
        <w:t>11.1 Flujo de creación de estudio</w:t>
      </w:r>
    </w:p>
    <w:p>
      <w:pPr>
        <w:pStyle w:val="ListNumber"/>
      </w:pPr>
      <w:r>
        <w:t>POST /api/estudios recibe el JSON con la trazabilidad y opcionalmente las muestras.</w:t>
      </w:r>
    </w:p>
    <w:p>
      <w:pPr>
        <w:pStyle w:val="ListNumber"/>
      </w:pPr>
      <w:r>
        <w:t>crear_estudio(payload) inserta en estudios y devuelve el id.</w:t>
      </w:r>
    </w:p>
    <w:p>
      <w:pPr>
        <w:pStyle w:val="ListNumber"/>
      </w:pPr>
      <w:r>
        <w:t>Si vienen muestras, agregar_muestras_bulk las inserta en una sola transacción.</w:t>
      </w:r>
    </w:p>
    <w:p>
      <w:pPr>
        <w:pStyle w:val="ListNumber"/>
      </w:pPr>
      <w:r>
        <w:t>El cliente recibe el id y redirige a /estudio/&lt;id&gt;.</w:t>
      </w:r>
    </w:p>
    <w:p>
      <w:pPr>
        <w:pStyle w:val="Heading2"/>
      </w:pPr>
      <w:r>
        <w:t>11.2 Flujo de carga por Excel</w:t>
      </w:r>
    </w:p>
    <w:p>
      <w:pPr>
        <w:pStyle w:val="ListNumber"/>
      </w:pPr>
      <w:r>
        <w:t>POST /api/estudios/upload recibe el archivo .xlsx (multipart).</w:t>
      </w:r>
    </w:p>
    <w:p>
      <w:pPr>
        <w:pStyle w:val="ListNumber"/>
      </w:pPr>
      <w:r>
        <w:t>parse_excel valida estructura y produce el payload.</w:t>
      </w:r>
    </w:p>
    <w:p>
      <w:pPr>
        <w:pStyle w:val="ListNumber"/>
      </w:pPr>
      <w:r>
        <w:t>Se llaman las mismas funciones de la BD (crear_estudio + bulk).</w:t>
      </w:r>
    </w:p>
    <w:p>
      <w:pPr>
        <w:pStyle w:val="ListNumber"/>
      </w:pPr>
      <w:r>
        <w:t>Se redirige a la página de análisis del estudio creado.</w:t>
      </w:r>
    </w:p>
    <w:p>
      <w:pPr>
        <w:pStyle w:val="Heading2"/>
      </w:pPr>
      <w:r>
        <w:t>11.3 Flujo de lectura para análisis</w:t>
      </w:r>
    </w:p>
    <w:p>
      <w:pPr>
        <w:pStyle w:val="ListNumber"/>
      </w:pPr>
      <w:r>
        <w:t>GET /estudio/&lt;id&gt; renderiza el HTML.</w:t>
      </w:r>
    </w:p>
    <w:p>
      <w:pPr>
        <w:pStyle w:val="ListNumber"/>
      </w:pPr>
      <w:r>
        <w:t>obtener_estudio(id) + listar_muestras(id) cargan los datos.</w:t>
      </w:r>
    </w:p>
    <w:p>
      <w:pPr>
        <w:pStyle w:val="ListNumber"/>
      </w:pPr>
      <w:r>
        <w:t>El cliente solicita los cálculos al backend con POST /api/analisis/*.</w:t>
      </w:r>
    </w:p>
    <w:p>
      <w:pPr>
        <w:pStyle w:val="ListNumber"/>
      </w:pPr>
      <w:r>
        <w:t>Los algoritmos NumPy/SciPy ejecutan sobre los datos en memoria y devuelven JSON.</w:t>
      </w:r>
    </w:p>
    <w:p>
      <w:pPr>
        <w:pStyle w:val="Heading1"/>
      </w:pPr>
      <w:r>
        <w:t>12. Particularidades para entornos serverless</w:t>
      </w:r>
    </w:p>
    <w:p>
      <w:pPr>
        <w:pStyle w:val="Heading2"/>
      </w:pPr>
      <w:r>
        <w:t>12.1 Una conexión por petición</w:t>
      </w:r>
    </w:p>
    <w:p>
      <w:r>
        <w:t>Cada invocación Lambda en Vercel es independiente y efímera. La estrategia elegida es abrir y cerrar la conexión a Postgres en cada petición. Esto es ineficiente sin un pooler, pero con el Transaction Pooler de Supabase se vuelve perfectamente viable.</w:t>
      </w:r>
    </w:p>
    <w:p>
      <w:pPr>
        <w:pStyle w:val="Heading2"/>
      </w:pPr>
      <w:r>
        <w:t>12.2 Prepared statements desactivados</w:t>
      </w:r>
    </w:p>
    <w:p>
      <w:r>
        <w:t>psycopg 3 por defecto crea prepared statements para optimizar consultas repetidas. En el Transaction Pooler (PgBouncer en modo transaction), las conexiones físicas se reutilizan entre clientes, lo que rompe la correspondencia entre PREPARE/EXECUTE y produce el error 'prepared statement "_pg3_0" already exists'. La solución implementada es:</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conn = psycopg.connect(</w:t>
            </w:r>
          </w:p>
          <w:p>
            <w:r>
              <w:rPr>
                <w:rFonts w:ascii="Consolas" w:hAnsi="Consolas"/>
                <w:color w:val="003A6B"/>
                <w:sz w:val="18"/>
              </w:rPr>
              <w:t xml:space="preserve">    DATABASE_URL,</w:t>
            </w:r>
          </w:p>
          <w:p>
            <w:r>
              <w:rPr>
                <w:rFonts w:ascii="Consolas" w:hAnsi="Consolas"/>
                <w:color w:val="003A6B"/>
                <w:sz w:val="18"/>
              </w:rPr>
              <w:t xml:space="preserve">    row_factory=dict_row,</w:t>
            </w:r>
          </w:p>
          <w:p>
            <w:r>
              <w:rPr>
                <w:rFonts w:ascii="Consolas" w:hAnsi="Consolas"/>
                <w:color w:val="003A6B"/>
                <w:sz w:val="18"/>
              </w:rPr>
              <w:t xml:space="preserve">    autocommit=False,</w:t>
            </w:r>
          </w:p>
          <w:p>
            <w:r>
              <w:rPr>
                <w:rFonts w:ascii="Consolas" w:hAnsi="Consolas"/>
                <w:color w:val="003A6B"/>
                <w:sz w:val="18"/>
              </w:rPr>
              <w:t xml:space="preserve">    prepare_threshold=None,  # desactiva preparación automática</w:t>
            </w:r>
          </w:p>
          <w:p>
            <w:r>
              <w:rPr>
                <w:rFonts w:ascii="Consolas" w:hAnsi="Consolas"/>
                <w:color w:val="003A6B"/>
                <w:sz w:val="18"/>
              </w:rPr>
              <w:t>)</w:t>
            </w:r>
          </w:p>
        </w:tc>
      </w:tr>
    </w:tbl>
    <w:p>
      <w:pPr>
        <w:spacing w:after="120"/>
      </w:pPr>
    </w:p>
    <w:p>
      <w:pPr>
        <w:pStyle w:val="Heading2"/>
      </w:pPr>
      <w:r>
        <w:t>12.3 Inicialización idempotente</w:t>
      </w:r>
    </w:p>
    <w:p>
      <w:r>
        <w:t>El método init_db() usa CREATE TABLE IF NOT EXISTS, por lo que es seguro llamarlo en cada cold start. Una bandera de proceso evita repetir el trabajo dentro de la misma instancia caliente.</w:t>
      </w:r>
    </w:p>
    <w:p>
      <w:pPr>
        <w:pStyle w:val="Heading1"/>
      </w:pPr>
      <w:r>
        <w:t>13. Seguridad</w:t>
      </w:r>
    </w:p>
    <w:p>
      <w:pPr>
        <w:pStyle w:val="Heading2"/>
      </w:pPr>
      <w:r>
        <w:t>13.1 Credenciales</w:t>
      </w:r>
    </w:p>
    <w:p>
      <w:pPr>
        <w:pStyle w:val="ListBullet"/>
      </w:pPr>
      <w:r>
        <w:t>DATABASE_URL contiene usuario + contraseña; nunca se commitea (está en .gitignore).</w:t>
      </w:r>
    </w:p>
    <w:p>
      <w:pPr>
        <w:pStyle w:val="ListBullet"/>
      </w:pPr>
      <w:r>
        <w:t>En Vercel se configura como Environment Variable cifrada en reposo.</w:t>
      </w:r>
    </w:p>
    <w:p>
      <w:pPr>
        <w:pStyle w:val="ListBullet"/>
      </w:pPr>
      <w:r>
        <w:t>Si se compromete, resetear desde Supabase Project Settings → Database → Reset database password.</w:t>
      </w:r>
    </w:p>
    <w:p>
      <w:pPr>
        <w:pStyle w:val="Heading2"/>
      </w:pPr>
      <w:r>
        <w:t>13.2 Row Level Security (RLS)</w:t>
      </w:r>
    </w:p>
    <w:p>
      <w:r>
        <w:t>Supabase habilita RLS por defecto en tablas creadas vía el Table Editor. Como en este proyecto la app accede con el rol 'postgres' (vía DATABASE_URL), bypassea RLS — por eso no está habilitada. Si en el futuro se expone la API REST de PostgREST con el anon key, será obligatorio habilitar RLS y definir políticas. El esquema schema.sql incluye un bloque comentado con las instrucciones.</w:t>
      </w:r>
    </w:p>
    <w:p>
      <w:pPr>
        <w:pStyle w:val="Heading2"/>
      </w:pPr>
      <w:r>
        <w:t>13.3 Validación de entrada</w:t>
      </w:r>
    </w:p>
    <w:p>
      <w:pPr>
        <w:pStyle w:val="ListBullet"/>
      </w:pPr>
      <w:r>
        <w:t>El backend usa SQL parametrizado (psycopg/SQLite) — sin riesgo de inyección.</w:t>
      </w:r>
    </w:p>
    <w:p>
      <w:pPr>
        <w:pStyle w:val="ListBullet"/>
      </w:pPr>
      <w:r>
        <w:t>El parser de Excel valida estructura y tipos antes de persistir.</w:t>
      </w:r>
    </w:p>
    <w:p>
      <w:pPr>
        <w:pStyle w:val="ListBullet"/>
      </w:pPr>
      <w:r>
        <w:t>Los CHECK constraints en la BD bloquean valores fuera de dominio.</w:t>
      </w:r>
    </w:p>
    <w:p>
      <w:pPr>
        <w:pStyle w:val="Heading2"/>
      </w:pPr>
      <w:r>
        <w:t>13.4 Cifrado</w:t>
      </w:r>
    </w:p>
    <w:p>
      <w:pPr>
        <w:pStyle w:val="ListBullet"/>
      </w:pPr>
      <w:r>
        <w:t>Conexión TCP/SSL al pooler de Supabase (TLS 1.2+).</w:t>
      </w:r>
    </w:p>
    <w:p>
      <w:pPr>
        <w:pStyle w:val="ListBullet"/>
      </w:pPr>
      <w:r>
        <w:t>Datos en reposo cifrados por Supabase (AES-256).</w:t>
      </w:r>
    </w:p>
    <w:p>
      <w:pPr>
        <w:pStyle w:val="ListBullet"/>
      </w:pPr>
      <w:r>
        <w:t>Cookies de sesión Flask firmadas con SECRET_KEY.</w:t>
      </w:r>
    </w:p>
    <w:p>
      <w:pPr>
        <w:pStyle w:val="Heading1"/>
      </w:pPr>
      <w:r>
        <w:t>14. Backups, mantenimiento y restauración</w:t>
      </w:r>
    </w:p>
    <w:p>
      <w:pPr>
        <w:pStyle w:val="Heading2"/>
      </w:pPr>
      <w:r>
        <w:t>14.1 Backups automáticos de Supabase</w:t>
      </w:r>
    </w:p>
    <w:p>
      <w:pPr>
        <w:pStyle w:val="ListBullet"/>
      </w:pPr>
      <w:r>
        <w:t>Plan gratuito: 1 backup diario (retención 7 días).</w:t>
      </w:r>
    </w:p>
    <w:p>
      <w:pPr>
        <w:pStyle w:val="ListBullet"/>
      </w:pPr>
      <w:r>
        <w:t>Plan Pro: backups continuos con Point-In-Time Recovery hasta 30 días.</w:t>
      </w:r>
    </w:p>
    <w:p>
      <w:pPr>
        <w:pStyle w:val="ListBullet"/>
      </w:pPr>
      <w:r>
        <w:t>Disponibles en: Supabase Project → Database → Backups.</w:t>
      </w:r>
    </w:p>
    <w:p>
      <w:pPr>
        <w:pStyle w:val="Heading2"/>
      </w:pPr>
      <w:r>
        <w:t>14.2 Backup manual (dump SQL)</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 Exporta el esquema y datos</w:t>
            </w:r>
          </w:p>
          <w:p>
            <w:r>
              <w:rPr>
                <w:rFonts w:ascii="Consolas" w:hAnsi="Consolas"/>
                <w:color w:val="003A6B"/>
                <w:sz w:val="18"/>
              </w:rPr>
              <w:t>pg_dump "$DATABASE_URL" &gt; backup_$(date +%Y%m%d).sql</w:t>
            </w:r>
          </w:p>
          <w:p>
            <w:r>
              <w:rPr>
                <w:rFonts w:ascii="Consolas" w:hAnsi="Consolas"/>
                <w:color w:val="003A6B"/>
                <w:sz w:val="18"/>
              </w:rPr>
            </w:r>
            <w:r>
              <w:rPr>
                <w:rFonts w:ascii="Consolas" w:hAnsi="Consolas"/>
                <w:color w:val="003A6B"/>
                <w:sz w:val="18"/>
              </w:rPr>
              <w:t># Restaura</w:t>
            </w:r>
          </w:p>
          <w:p>
            <w:r>
              <w:rPr>
                <w:rFonts w:ascii="Consolas" w:hAnsi="Consolas"/>
                <w:color w:val="003A6B"/>
                <w:sz w:val="18"/>
              </w:rPr>
              <w:t>psql "$DATABASE_URL_NUEVA" &lt; backup_20260519.sql</w:t>
            </w:r>
          </w:p>
        </w:tc>
      </w:tr>
    </w:tbl>
    <w:p>
      <w:pPr>
        <w:spacing w:after="120"/>
      </w:pPr>
    </w:p>
    <w:p>
      <w:pPr>
        <w:pStyle w:val="Heading2"/>
      </w:pPr>
      <w:r>
        <w:t>14.3 Exportación rápida vía la app</w:t>
      </w:r>
    </w:p>
    <w:p>
      <w:r>
        <w:t>Cada estudio puede exportarse a Excel desde la app (endpoint /api/estudios/&lt;id&gt;/excel). Esto sirve como respaldo individual y como interoperabilidad con sistemas que no leen Postgres.</w:t>
      </w:r>
    </w:p>
    <w:p>
      <w:pPr>
        <w:pStyle w:val="Heading1"/>
      </w:pPr>
      <w:r>
        <w:t>15. Consultas útiles</w:t>
      </w:r>
    </w:p>
    <w:p>
      <w:r>
        <w:t>Algunas consultas SQL que pueden ejecutarse desde el SQL Editor de Supabase para análisis ad-hoc:</w:t>
      </w:r>
    </w:p>
    <w:p>
      <w:pPr>
        <w:pStyle w:val="Heading2"/>
      </w:pPr>
      <w:r>
        <w:t>15.1 Estudios por producto</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SELECT producto, COUNT(*) AS n_estudios</w:t>
            </w:r>
          </w:p>
          <w:p>
            <w:r>
              <w:rPr>
                <w:rFonts w:ascii="Consolas" w:hAnsi="Consolas"/>
                <w:color w:val="003A6B"/>
                <w:sz w:val="18"/>
              </w:rPr>
              <w:t>FROM estudios</w:t>
            </w:r>
          </w:p>
          <w:p>
            <w:r>
              <w:rPr>
                <w:rFonts w:ascii="Consolas" w:hAnsi="Consolas"/>
                <w:color w:val="003A6B"/>
                <w:sz w:val="18"/>
              </w:rPr>
              <w:t>GROUP BY producto</w:t>
            </w:r>
          </w:p>
          <w:p>
            <w:r>
              <w:rPr>
                <w:rFonts w:ascii="Consolas" w:hAnsi="Consolas"/>
                <w:color w:val="003A6B"/>
                <w:sz w:val="18"/>
              </w:rPr>
              <w:t>ORDER BY n_estudios DESC;</w:t>
            </w:r>
          </w:p>
        </w:tc>
      </w:tr>
    </w:tbl>
    <w:p>
      <w:pPr>
        <w:spacing w:after="120"/>
      </w:pPr>
    </w:p>
    <w:p>
      <w:pPr>
        <w:pStyle w:val="Heading2"/>
      </w:pPr>
      <w:r>
        <w:t>15.2 Distribución de tipos de gráfico</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SELECT tipo_grafico, COUNT(*) AS n</w:t>
            </w:r>
          </w:p>
          <w:p>
            <w:r>
              <w:rPr>
                <w:rFonts w:ascii="Consolas" w:hAnsi="Consolas"/>
                <w:color w:val="003A6B"/>
                <w:sz w:val="18"/>
              </w:rPr>
              <w:t>FROM estudios</w:t>
            </w:r>
          </w:p>
          <w:p>
            <w:r>
              <w:rPr>
                <w:rFonts w:ascii="Consolas" w:hAnsi="Consolas"/>
                <w:color w:val="003A6B"/>
                <w:sz w:val="18"/>
              </w:rPr>
              <w:t>GROUP BY tipo_grafico</w:t>
            </w:r>
          </w:p>
          <w:p>
            <w:r>
              <w:rPr>
                <w:rFonts w:ascii="Consolas" w:hAnsi="Consolas"/>
                <w:color w:val="003A6B"/>
                <w:sz w:val="18"/>
              </w:rPr>
              <w:t>ORDER BY n DESC;</w:t>
            </w:r>
          </w:p>
        </w:tc>
      </w:tr>
    </w:tbl>
    <w:p>
      <w:pPr>
        <w:spacing w:after="120"/>
      </w:pPr>
    </w:p>
    <w:p>
      <w:pPr>
        <w:pStyle w:val="Heading2"/>
      </w:pPr>
      <w:r>
        <w:t>15.3 Estudios con más muestras</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SELECT e.id, e.nombre, e.producto, COUNT(m.id) AS n_muestras</w:t>
            </w:r>
          </w:p>
          <w:p>
            <w:r>
              <w:rPr>
                <w:rFonts w:ascii="Consolas" w:hAnsi="Consolas"/>
                <w:color w:val="003A6B"/>
                <w:sz w:val="18"/>
              </w:rPr>
              <w:t>FROM estudios e</w:t>
            </w:r>
          </w:p>
          <w:p>
            <w:r>
              <w:rPr>
                <w:rFonts w:ascii="Consolas" w:hAnsi="Consolas"/>
                <w:color w:val="003A6B"/>
                <w:sz w:val="18"/>
              </w:rPr>
              <w:t>LEFT JOIN muestras m ON m.estudio_id = e.id</w:t>
            </w:r>
          </w:p>
          <w:p>
            <w:r>
              <w:rPr>
                <w:rFonts w:ascii="Consolas" w:hAnsi="Consolas"/>
                <w:color w:val="003A6B"/>
                <w:sz w:val="18"/>
              </w:rPr>
              <w:t>GROUP BY e.id</w:t>
            </w:r>
          </w:p>
          <w:p>
            <w:r>
              <w:rPr>
                <w:rFonts w:ascii="Consolas" w:hAnsi="Consolas"/>
                <w:color w:val="003A6B"/>
                <w:sz w:val="18"/>
              </w:rPr>
              <w:t>ORDER BY n_muestras DESC</w:t>
            </w:r>
          </w:p>
          <w:p>
            <w:r>
              <w:rPr>
                <w:rFonts w:ascii="Consolas" w:hAnsi="Consolas"/>
                <w:color w:val="003A6B"/>
                <w:sz w:val="18"/>
              </w:rPr>
              <w:t>LIMIT 10;</w:t>
            </w:r>
          </w:p>
        </w:tc>
      </w:tr>
    </w:tbl>
    <w:p>
      <w:pPr>
        <w:spacing w:after="120"/>
      </w:pPr>
    </w:p>
    <w:p>
      <w:pPr>
        <w:pStyle w:val="Heading2"/>
      </w:pPr>
      <w:r>
        <w:t>15.4 Trabajo de un analista en un periodo</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SELECT id, nombre, producto, fecha_creacion</w:t>
            </w:r>
          </w:p>
          <w:p>
            <w:r>
              <w:rPr>
                <w:rFonts w:ascii="Consolas" w:hAnsi="Consolas"/>
                <w:color w:val="003A6B"/>
                <w:sz w:val="18"/>
              </w:rPr>
              <w:t>FROM estudios</w:t>
            </w:r>
          </w:p>
          <w:p>
            <w:r>
              <w:rPr>
                <w:rFonts w:ascii="Consolas" w:hAnsi="Consolas"/>
                <w:color w:val="003A6B"/>
                <w:sz w:val="18"/>
              </w:rPr>
              <w:t>WHERE analista = 'Juan Pérez'</w:t>
            </w:r>
          </w:p>
          <w:p>
            <w:r>
              <w:rPr>
                <w:rFonts w:ascii="Consolas" w:hAnsi="Consolas"/>
                <w:color w:val="003A6B"/>
                <w:sz w:val="18"/>
              </w:rPr>
              <w:t xml:space="preserve">  AND fecha_creacion &gt;= '2026-01-01'</w:t>
            </w:r>
          </w:p>
          <w:p>
            <w:r>
              <w:rPr>
                <w:rFonts w:ascii="Consolas" w:hAnsi="Consolas"/>
                <w:color w:val="003A6B"/>
                <w:sz w:val="18"/>
              </w:rPr>
              <w:t xml:space="preserve">  AND fecha_creacion &lt;  '2026-07-01'</w:t>
            </w:r>
          </w:p>
          <w:p>
            <w:r>
              <w:rPr>
                <w:rFonts w:ascii="Consolas" w:hAnsi="Consolas"/>
                <w:color w:val="003A6B"/>
                <w:sz w:val="18"/>
              </w:rPr>
              <w:t>ORDER BY fecha_creacion DESC;</w:t>
            </w:r>
          </w:p>
        </w:tc>
      </w:tr>
    </w:tbl>
    <w:p>
      <w:pPr>
        <w:spacing w:after="120"/>
      </w:pPr>
    </w:p>
    <w:p>
      <w:pPr>
        <w:pStyle w:val="Heading2"/>
      </w:pPr>
      <w:r>
        <w:t>15.5 Lotes con mayor número de subgrupos por producto</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SELECT e.producto, e.lote, COUNT(m.id) AS n_subgrupos</w:t>
            </w:r>
          </w:p>
          <w:p>
            <w:r>
              <w:rPr>
                <w:rFonts w:ascii="Consolas" w:hAnsi="Consolas"/>
                <w:color w:val="003A6B"/>
                <w:sz w:val="18"/>
              </w:rPr>
              <w:t>FROM estudios e</w:t>
            </w:r>
          </w:p>
          <w:p>
            <w:r>
              <w:rPr>
                <w:rFonts w:ascii="Consolas" w:hAnsi="Consolas"/>
                <w:color w:val="003A6B"/>
                <w:sz w:val="18"/>
              </w:rPr>
              <w:t>JOIN muestras m ON m.estudio_id = e.id</w:t>
            </w:r>
          </w:p>
          <w:p>
            <w:r>
              <w:rPr>
                <w:rFonts w:ascii="Consolas" w:hAnsi="Consolas"/>
                <w:color w:val="003A6B"/>
                <w:sz w:val="18"/>
              </w:rPr>
              <w:t>WHERE e.lote IS NOT NULL</w:t>
            </w:r>
          </w:p>
          <w:p>
            <w:r>
              <w:rPr>
                <w:rFonts w:ascii="Consolas" w:hAnsi="Consolas"/>
                <w:color w:val="003A6B"/>
                <w:sz w:val="18"/>
              </w:rPr>
              <w:t>GROUP BY e.producto, e.lote</w:t>
            </w:r>
          </w:p>
          <w:p>
            <w:r>
              <w:rPr>
                <w:rFonts w:ascii="Consolas" w:hAnsi="Consolas"/>
                <w:color w:val="003A6B"/>
                <w:sz w:val="18"/>
              </w:rPr>
              <w:t>ORDER BY n_subgrupos DESC</w:t>
            </w:r>
          </w:p>
          <w:p>
            <w:r>
              <w:rPr>
                <w:rFonts w:ascii="Consolas" w:hAnsi="Consolas"/>
                <w:color w:val="003A6B"/>
                <w:sz w:val="18"/>
              </w:rPr>
              <w:t>LIMIT 25;</w:t>
            </w:r>
          </w:p>
        </w:tc>
      </w:tr>
    </w:tbl>
    <w:p>
      <w:pPr>
        <w:spacing w:after="120"/>
      </w:pPr>
    </w:p>
    <w:p>
      <w:pPr>
        <w:pStyle w:val="Heading2"/>
      </w:pPr>
      <w:r>
        <w:t>15.6 Acceso al campo JSONB</w:t>
      </w:r>
    </w:p>
    <w:p>
      <w:r>
        <w:t>Para inspeccionar el contenido del campo 'valores', se pueden usar los operadores nativos de JSONB:</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 Primer valor del subgrupo</w:t>
            </w:r>
          </w:p>
          <w:p>
            <w:r>
              <w:rPr>
                <w:rFonts w:ascii="Consolas" w:hAnsi="Consolas"/>
                <w:color w:val="003A6B"/>
                <w:sz w:val="18"/>
              </w:rPr>
              <w:t>SELECT subgrupo, (valores-&gt;0)::numeric AS primera_medicion</w:t>
            </w:r>
          </w:p>
          <w:p>
            <w:r>
              <w:rPr>
                <w:rFonts w:ascii="Consolas" w:hAnsi="Consolas"/>
                <w:color w:val="003A6B"/>
                <w:sz w:val="18"/>
              </w:rPr>
              <w:t>FROM muestras WHERE estudio_id = 1;</w:t>
            </w:r>
          </w:p>
          <w:p>
            <w:r>
              <w:rPr>
                <w:rFonts w:ascii="Consolas" w:hAnsi="Consolas"/>
                <w:color w:val="003A6B"/>
                <w:sz w:val="18"/>
              </w:rPr>
            </w:r>
            <w:r>
              <w:rPr>
                <w:rFonts w:ascii="Consolas" w:hAnsi="Consolas"/>
                <w:color w:val="003A6B"/>
                <w:sz w:val="18"/>
              </w:rPr>
              <w:t>-- Suma de valores en un subgrupo (variables)</w:t>
            </w:r>
          </w:p>
          <w:p>
            <w:r>
              <w:rPr>
                <w:rFonts w:ascii="Consolas" w:hAnsi="Consolas"/>
                <w:color w:val="003A6B"/>
                <w:sz w:val="18"/>
              </w:rPr>
              <w:t>SELECT subgrupo,</w:t>
            </w:r>
          </w:p>
          <w:p>
            <w:r>
              <w:rPr>
                <w:rFonts w:ascii="Consolas" w:hAnsi="Consolas"/>
                <w:color w:val="003A6B"/>
                <w:sz w:val="18"/>
              </w:rPr>
              <w:t xml:space="preserve">       (SELECT SUM(v::numeric) FROM jsonb_array_elements_text(valores) AS v) AS suma</w:t>
            </w:r>
          </w:p>
          <w:p>
            <w:r>
              <w:rPr>
                <w:rFonts w:ascii="Consolas" w:hAnsi="Consolas"/>
                <w:color w:val="003A6B"/>
                <w:sz w:val="18"/>
              </w:rPr>
              <w:t>FROM muestras WHERE estudio_id = 1;</w:t>
            </w:r>
          </w:p>
        </w:tc>
      </w:tr>
    </w:tbl>
    <w:p>
      <w:pPr>
        <w:spacing w:after="120"/>
      </w:pPr>
    </w:p>
    <w:p>
      <w:pPr>
        <w:pStyle w:val="Heading1"/>
      </w:pPr>
      <w:r>
        <w:t>16. Migración y portabilidad</w:t>
      </w:r>
    </w:p>
    <w:p>
      <w:pPr>
        <w:pStyle w:val="Heading2"/>
      </w:pPr>
      <w:r>
        <w:t>16.1 De SQLite local a Supabase Postgres</w:t>
      </w:r>
    </w:p>
    <w:p>
      <w:pPr>
        <w:pStyle w:val="ListNumber"/>
      </w:pPr>
      <w:r>
        <w:t>Ejecutar supabase/schema.sql en el SQL Editor.</w:t>
      </w:r>
    </w:p>
    <w:p>
      <w:pPr>
        <w:pStyle w:val="ListNumber"/>
      </w:pPr>
      <w:r>
        <w:t>Configurar DATABASE_URL en el entorno local (.env) o en Vercel.</w:t>
      </w:r>
    </w:p>
    <w:p>
      <w:pPr>
        <w:pStyle w:val="ListNumber"/>
      </w:pPr>
      <w:r>
        <w:t>Migración manual de datos (si aplica): exportar a Excel desde la app, subirlos en el entorno de producción.</w:t>
      </w:r>
    </w:p>
    <w:p>
      <w:pPr>
        <w:pStyle w:val="Heading2"/>
      </w:pPr>
      <w:r>
        <w:t>16.2 Cambiar de proveedor (Neon, Vercel Postgres, RDS, etc.)</w:t>
      </w:r>
    </w:p>
    <w:p>
      <w:r>
        <w:t>El esquema es PostgreSQL estándar; cualquier proveedor con Postgres 13+ funciona. Solo se necesita actualizar la DATABASE_URL. Si se abandona el modelo pooler, se puede activar de nuevo prepared_threshold &gt; 0.</w:t>
      </w:r>
    </w:p>
    <w:p>
      <w:pPr>
        <w:pStyle w:val="Heading2"/>
      </w:pPr>
      <w:r>
        <w:t>16.3 Cambiar de RDBMS (MySQL, MariaDB)</w:t>
      </w:r>
    </w:p>
    <w:p>
      <w:pPr>
        <w:pStyle w:val="ListBullet"/>
      </w:pPr>
      <w:r>
        <w:t>El tipo JSONB es específico de Postgres. En MySQL se usaría JSON (similar).</w:t>
      </w:r>
    </w:p>
    <w:p>
      <w:pPr>
        <w:pStyle w:val="ListBullet"/>
      </w:pPr>
      <w:r>
        <w:t>BIGSERIAL pasaría a BIGINT AUTO_INCREMENT.</w:t>
      </w:r>
    </w:p>
    <w:p>
      <w:pPr>
        <w:pStyle w:val="ListBullet"/>
      </w:pPr>
      <w:r>
        <w:t>TIMESTAMPTZ pasaría a DATETIME(6) o TIMESTAMP con manejo manual de zona.</w:t>
      </w:r>
    </w:p>
    <w:p>
      <w:pPr>
        <w:pStyle w:val="ListBullet"/>
      </w:pPr>
      <w:r>
        <w:t>El driver cambiaría de psycopg a mysqlclient o aiomysql.</w:t>
      </w:r>
    </w:p>
    <w:p>
      <w:pPr>
        <w:pStyle w:val="Heading1"/>
      </w:pPr>
      <w:r>
        <w:t>17. Métricas y monitoreo</w:t>
      </w:r>
    </w:p>
    <w:p>
      <w:pPr>
        <w:pStyle w:val="Heading2"/>
      </w:pPr>
      <w:r>
        <w:t>17.1 Panel de Supabase</w:t>
      </w:r>
    </w:p>
    <w:p>
      <w:pPr>
        <w:pStyle w:val="ListBullet"/>
      </w:pPr>
      <w:r>
        <w:rPr>
          <w:b/>
        </w:rPr>
        <w:t xml:space="preserve">Database → Database Health: </w:t>
      </w:r>
      <w:r>
        <w:t>uso de CPU, RAM, conexiones activas.</w:t>
      </w:r>
    </w:p>
    <w:p>
      <w:pPr>
        <w:pStyle w:val="ListBullet"/>
      </w:pPr>
      <w:r>
        <w:rPr>
          <w:b/>
        </w:rPr>
        <w:t xml:space="preserve">Database → Reports: </w:t>
      </w:r>
      <w:r>
        <w:t>queries más lentos, tablas más grandes, índices subutilizados.</w:t>
      </w:r>
    </w:p>
    <w:p>
      <w:pPr>
        <w:pStyle w:val="ListBullet"/>
      </w:pPr>
      <w:r>
        <w:rPr>
          <w:b/>
        </w:rPr>
        <w:t xml:space="preserve">Database → Roles: </w:t>
      </w:r>
      <w:r>
        <w:t>conexiones por rol/usuario.</w:t>
      </w:r>
    </w:p>
    <w:p>
      <w:pPr>
        <w:pStyle w:val="ListBullet"/>
      </w:pPr>
      <w:r>
        <w:rPr>
          <w:b/>
        </w:rPr>
        <w:t xml:space="preserve">Logs → Postgres logs: </w:t>
      </w:r>
      <w:r>
        <w:t>errores y warnings del motor.</w:t>
      </w:r>
    </w:p>
    <w:p>
      <w:pPr>
        <w:pStyle w:val="Heading2"/>
      </w:pPr>
      <w:r>
        <w:t>17.2 Consultas de monitoreo</w:t>
      </w:r>
    </w:p>
    <w:tbl>
      <w:tblPr>
        <w:tblStyle w:val="TableGrid"/>
        <w:tblW w:type="auto" w:w="0"/>
        <w:tblLook w:firstColumn="1" w:firstRow="1" w:lastColumn="0" w:lastRow="0" w:noHBand="0" w:noVBand="1" w:val="04A0"/>
      </w:tblPr>
      <w:tblGrid>
        <w:gridCol w:w="9406"/>
      </w:tblGrid>
      <w:tr>
        <w:tc>
          <w:tcPr>
            <w:tcW w:type="dxa" w:w="9406"/>
            <w:shd w:val="clear" w:color="auto" w:fill="F1F5F9"/>
          </w:tcPr>
          <w:p>
            <w:r/>
            <w:r>
              <w:rPr>
                <w:rFonts w:ascii="Consolas" w:hAnsi="Consolas"/>
                <w:color w:val="003A6B"/>
                <w:sz w:val="18"/>
              </w:rPr>
              <w:t>-- Tamaño total de la BD</w:t>
            </w:r>
          </w:p>
          <w:p>
            <w:r>
              <w:rPr>
                <w:rFonts w:ascii="Consolas" w:hAnsi="Consolas"/>
                <w:color w:val="003A6B"/>
                <w:sz w:val="18"/>
              </w:rPr>
              <w:t>SELECT pg_size_pretty(pg_database_size(current_database()));</w:t>
            </w:r>
          </w:p>
          <w:p>
            <w:r>
              <w:rPr>
                <w:rFonts w:ascii="Consolas" w:hAnsi="Consolas"/>
                <w:color w:val="003A6B"/>
                <w:sz w:val="18"/>
              </w:rPr>
            </w:r>
            <w:r>
              <w:rPr>
                <w:rFonts w:ascii="Consolas" w:hAnsi="Consolas"/>
                <w:color w:val="003A6B"/>
                <w:sz w:val="18"/>
              </w:rPr>
              <w:t>-- Tamaño por tabla (datos + índices)</w:t>
            </w:r>
          </w:p>
          <w:p>
            <w:r>
              <w:rPr>
                <w:rFonts w:ascii="Consolas" w:hAnsi="Consolas"/>
                <w:color w:val="003A6B"/>
                <w:sz w:val="18"/>
              </w:rPr>
              <w:t>SELECT relname AS tabla,</w:t>
            </w:r>
          </w:p>
          <w:p>
            <w:r>
              <w:rPr>
                <w:rFonts w:ascii="Consolas" w:hAnsi="Consolas"/>
                <w:color w:val="003A6B"/>
                <w:sz w:val="18"/>
              </w:rPr>
              <w:t xml:space="preserve">       pg_size_pretty(pg_total_relation_size(C.oid)) AS tamano</w:t>
            </w:r>
          </w:p>
          <w:p>
            <w:r>
              <w:rPr>
                <w:rFonts w:ascii="Consolas" w:hAnsi="Consolas"/>
                <w:color w:val="003A6B"/>
                <w:sz w:val="18"/>
              </w:rPr>
              <w:t>FROM pg_class C</w:t>
            </w:r>
          </w:p>
          <w:p>
            <w:r>
              <w:rPr>
                <w:rFonts w:ascii="Consolas" w:hAnsi="Consolas"/>
                <w:color w:val="003A6B"/>
                <w:sz w:val="18"/>
              </w:rPr>
              <w:t>LEFT JOIN pg_namespace N ON N.oid = C.relnamespace</w:t>
            </w:r>
          </w:p>
          <w:p>
            <w:r>
              <w:rPr>
                <w:rFonts w:ascii="Consolas" w:hAnsi="Consolas"/>
                <w:color w:val="003A6B"/>
                <w:sz w:val="18"/>
              </w:rPr>
              <w:t>WHERE nspname = 'public'</w:t>
            </w:r>
          </w:p>
          <w:p>
            <w:r>
              <w:rPr>
                <w:rFonts w:ascii="Consolas" w:hAnsi="Consolas"/>
                <w:color w:val="003A6B"/>
                <w:sz w:val="18"/>
              </w:rPr>
              <w:t xml:space="preserve">  AND C.relkind = 'r'</w:t>
            </w:r>
          </w:p>
          <w:p>
            <w:r>
              <w:rPr>
                <w:rFonts w:ascii="Consolas" w:hAnsi="Consolas"/>
                <w:color w:val="003A6B"/>
                <w:sz w:val="18"/>
              </w:rPr>
              <w:t>ORDER BY pg_total_relation_size(C.oid) DESC;</w:t>
            </w:r>
          </w:p>
          <w:p>
            <w:r>
              <w:rPr>
                <w:rFonts w:ascii="Consolas" w:hAnsi="Consolas"/>
                <w:color w:val="003A6B"/>
                <w:sz w:val="18"/>
              </w:rPr>
            </w:r>
            <w:r>
              <w:rPr>
                <w:rFonts w:ascii="Consolas" w:hAnsi="Consolas"/>
                <w:color w:val="003A6B"/>
                <w:sz w:val="18"/>
              </w:rPr>
              <w:t>-- Conexiones activas</w:t>
            </w:r>
          </w:p>
          <w:p>
            <w:r>
              <w:rPr>
                <w:rFonts w:ascii="Consolas" w:hAnsi="Consolas"/>
                <w:color w:val="003A6B"/>
                <w:sz w:val="18"/>
              </w:rPr>
              <w:t>SELECT count(*) FROM pg_stat_activity</w:t>
            </w:r>
          </w:p>
          <w:p>
            <w:r>
              <w:rPr>
                <w:rFonts w:ascii="Consolas" w:hAnsi="Consolas"/>
                <w:color w:val="003A6B"/>
                <w:sz w:val="18"/>
              </w:rPr>
              <w:t>WHERE datname = current_database();</w:t>
            </w:r>
          </w:p>
        </w:tc>
      </w:tr>
    </w:tbl>
    <w:p>
      <w:pPr>
        <w:spacing w:after="120"/>
      </w:pPr>
    </w:p>
    <w:p>
      <w:pPr>
        <w:pStyle w:val="Heading1"/>
      </w:pPr>
      <w:r>
        <w:t>18. Limitaciones conocidas</w:t>
      </w:r>
    </w:p>
    <w:p>
      <w:pPr>
        <w:pStyle w:val="ListBullet"/>
      </w:pPr>
      <w:r>
        <w:rPr>
          <w:b/>
        </w:rPr>
        <w:t xml:space="preserve">Sin autenticación: </w:t>
      </w:r>
      <w:r>
        <w:t>cualquiera con acceso a la URL pública puede crear, ver o eliminar estudios. Mitigable con Supabase Auth + RLS.</w:t>
      </w:r>
    </w:p>
    <w:p>
      <w:pPr>
        <w:pStyle w:val="ListBullet"/>
      </w:pPr>
      <w:r>
        <w:rPr>
          <w:b/>
        </w:rPr>
        <w:t xml:space="preserve">Plan gratuito de Supabase: </w:t>
      </w:r>
      <w:r>
        <w:t>500 MB; suficiente para miles de estudios, pero conviene monitorear si crece mucho.</w:t>
      </w:r>
    </w:p>
    <w:p>
      <w:pPr>
        <w:pStyle w:val="ListBullet"/>
      </w:pPr>
      <w:r>
        <w:rPr>
          <w:b/>
        </w:rPr>
        <w:t xml:space="preserve">Sin auditoría: </w:t>
      </w:r>
      <w:r>
        <w:t>no se registra quién creó/modificó cada estudio (más allá del campo analista, que es de texto libre).</w:t>
      </w:r>
    </w:p>
    <w:p>
      <w:pPr>
        <w:pStyle w:val="ListBullet"/>
      </w:pPr>
      <w:r>
        <w:rPr>
          <w:b/>
        </w:rPr>
        <w:t xml:space="preserve">Una sola región: </w:t>
      </w:r>
      <w:r>
        <w:t>el pooler está fijo a una región AWS; usuarios lejanos experimentarán latencia mayor.</w:t>
      </w:r>
    </w:p>
    <w:p>
      <w:pPr>
        <w:pStyle w:val="ListBullet"/>
      </w:pPr>
      <w:r>
        <w:rPr>
          <w:b/>
        </w:rPr>
        <w:t xml:space="preserve">Conexiones por petición: </w:t>
      </w:r>
      <w:r>
        <w:t>no se reutilizan dentro del proceso Vercel. El pooler lo compensa, pero introduce ~10-30 ms por petición.</w:t>
      </w:r>
    </w:p>
    <w:p>
      <w:pPr>
        <w:pStyle w:val="Heading1"/>
      </w:pPr>
      <w:r>
        <w:t>19. Glosario</w:t>
      </w:r>
    </w:p>
    <w:p>
      <w:r>
        <w:rPr>
          <w:b/>
          <w:color w:val="005CAB"/>
        </w:rPr>
        <w:t xml:space="preserve">DDL: </w:t>
      </w:r>
      <w:r>
        <w:t>Data Definition Language. Sentencias que definen esquemas (CREATE, ALTER, DROP).</w:t>
      </w:r>
    </w:p>
    <w:p>
      <w:r>
        <w:rPr>
          <w:b/>
          <w:color w:val="005CAB"/>
        </w:rPr>
        <w:t xml:space="preserve">DML: </w:t>
      </w:r>
      <w:r>
        <w:t>Data Manipulation Language. SELECT, INSERT, UPDATE, DELETE.</w:t>
      </w:r>
    </w:p>
    <w:p>
      <w:r>
        <w:rPr>
          <w:b/>
          <w:color w:val="005CAB"/>
        </w:rPr>
        <w:t xml:space="preserve">Pooler: </w:t>
      </w:r>
      <w:r>
        <w:t>Componente intermedio que gestiona conexiones a la base de datos.</w:t>
      </w:r>
    </w:p>
    <w:p>
      <w:r>
        <w:rPr>
          <w:b/>
          <w:color w:val="005CAB"/>
        </w:rPr>
        <w:t xml:space="preserve">PgBouncer: </w:t>
      </w:r>
      <w:r>
        <w:t>Pooler de conexiones para PostgreSQL usado por Supabase.</w:t>
      </w:r>
    </w:p>
    <w:p>
      <w:r>
        <w:rPr>
          <w:b/>
          <w:color w:val="005CAB"/>
        </w:rPr>
        <w:t xml:space="preserve">Prepared statement: </w:t>
      </w:r>
      <w:r>
        <w:t>Consulta precompilada por el servidor para ejecución repetida.</w:t>
      </w:r>
    </w:p>
    <w:p>
      <w:r>
        <w:rPr>
          <w:b/>
          <w:color w:val="005CAB"/>
        </w:rPr>
        <w:t xml:space="preserve">RLS: </w:t>
      </w:r>
      <w:r>
        <w:t>Row Level Security. Filtra filas según el usuario autenticado.</w:t>
      </w:r>
    </w:p>
    <w:p>
      <w:r>
        <w:rPr>
          <w:b/>
          <w:color w:val="005CAB"/>
        </w:rPr>
        <w:t xml:space="preserve">JSONB: </w:t>
      </w:r>
      <w:r>
        <w:t>JSON binario, indexable y eficiente, en PostgreSQL.</w:t>
      </w:r>
    </w:p>
    <w:p>
      <w:r>
        <w:rPr>
          <w:b/>
          <w:color w:val="005CAB"/>
        </w:rPr>
        <w:t xml:space="preserve">Transaction Pooler: </w:t>
      </w:r>
      <w:r>
        <w:t>Modo del pooler que asigna conexiones por transacción.</w:t>
      </w:r>
    </w:p>
    <w:p>
      <w:r>
        <w:rPr>
          <w:b/>
          <w:color w:val="005CAB"/>
        </w:rPr>
        <w:t xml:space="preserve">Session Pooler: </w:t>
      </w:r>
      <w:r>
        <w:t>Modo del pooler que mantiene la conexión durante toda la sesión.</w:t>
      </w:r>
    </w:p>
    <w:p>
      <w:r>
        <w:rPr>
          <w:b/>
          <w:color w:val="005CAB"/>
        </w:rPr>
        <w:t xml:space="preserve">CASCADE: </w:t>
      </w:r>
      <w:r>
        <w:t>Operación que se propaga a filas relacionadas (ON DELETE CASCADE).</w:t>
      </w:r>
    </w:p>
    <w:p>
      <w:r>
        <w:rPr>
          <w:b/>
          <w:color w:val="005CAB"/>
        </w:rPr>
        <w:t xml:space="preserve">FK / PK: </w:t>
      </w:r>
      <w:r>
        <w:t>Foreign Key / Primary Key — clave foránea / clave primaria.</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7"/>
      </w:rPr>
      <w:t>Universidad del Magdalena · Sistema CEC · Informe de Base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3A6B"/>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5CAB"/>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05CAB"/>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03A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