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ENSAYO ACADÉMICO </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 CONSOLIDACIÓN DE LA INTELIGENCIA ARTIFICIAL (IA) COMO CAUSA TECNOLÓGICA DE DESPIDO EN EL ORDENAMIENTO LABORAL ESPAÑOL DURANTE EL PERÍODO 2022‑2026</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 INTRODUCCIÓN</w:t>
      </w:r>
    </w:p>
    <w:p w:rsidR="00000000" w:rsidDel="00000000" w:rsidP="00000000" w:rsidRDefault="00000000" w:rsidRPr="00000000" w14:paraId="00000004">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inteligencia artificial (IA) ha dejado de ser una promesa de futuro para convertirse en un elemento estructural de la organización empresarial española. Durante el período 2022-2026, la implantación de sistemas de IA ha transformado profundamente los procesos productivos, generando un intenso debate doctrinal y jurisprudencial sobre si esta tecnología puede constituir una causa tecnológica legítima de despido al amparo del artículo 52.c) del Estatuto de los Trabajadores. Esta cuestión resulta crucial porque afecta directamente a la estabilidad en el empleo de miles de trabajadores. La tesis que se defenderá en el presente ensayo sostiene que, si bien la IA puede constituir una causa tecnológica de despido, los tribunales españoles han establecido estándares probatorios rigurosos que exigen acreditar un impacto económico real y medible, evitando que la automatización se convierta en una excusa tecnológica para la extinción contractual. El objetivo general de esta investigación es analizar la consolidación de la IA como causa tecnológica de despido en el ordenamiento laboral español durante el período 2022-2026.</w:t>
      </w:r>
    </w:p>
    <w:p w:rsidR="00000000" w:rsidDel="00000000" w:rsidP="00000000" w:rsidRDefault="00000000" w:rsidRPr="00000000" w14:paraId="00000005">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lo largo de este ensayo se ha demostrado que, pese a la labor garantista de los tribunales, el marco normativo vigente resulta insuficiente para abordar los desafíos estructurales de la automatización, por lo que se hace imprescindible una regulación específica que desarrolle un estatuto de protección para los trabajadores frente a los algoritmos.</w:t>
      </w:r>
    </w:p>
    <w:p w:rsidR="00000000" w:rsidDel="00000000" w:rsidP="00000000" w:rsidRDefault="00000000" w:rsidRPr="00000000" w14:paraId="00000006">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2.</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MARCO NORMATIVO Y DOCTRINAL</w:t>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incorporación de la IA en los procesos productivos ha planteado interrogantes sobre la aplicación de las causas objetivas de despido previstas en el ordenamiento laboral español. El artículo 52.c) del Estatuto de los Trabajadores contempla como causa objetiva de despido las razones técnicas, organizativas o de producción, pero esta norma fue diseñada en un momento en el que la automatización mediante IA no era siquiera concebible. Al respecto, Todolí Signes sostiene que el derecho laboral debe distinguir entre algoritmos productivos y extractivos, señalando que la regulación debe fomentar los primeros y limitar los segundos.¹ De manera complementaria, Rodríguez-Piñero Royo advierte que el derecho laboral no puede limitarse a reaccionar ante los problemas tecnológicos, sino que debe anticiparse a ellos mediante una regulación preventiva.² A ello se suma que el Reglamento Europeo de IA (UE) 2024/1689, en su artículo 3.1, define la IA y establece obligaciones para los sistemas de alto riesgo, pero no aborda de manera específica la extinción contractual derivada de la automatización.³ La Ley 15/2022 constituye el primer intento legislativo español de abordar la IA, aunque resulta insuficiente al no desarrollar un estatuto específico para el trabajador frente a los algoritmos.⁴ Se considera, por tanto, que la ausencia de una regulación específica sobre despidos por IA constituye el principal desafío normativo</w:t>
      </w:r>
      <w:r w:rsidDel="00000000" w:rsidR="00000000" w:rsidRPr="00000000">
        <w:rPr>
          <w:rFonts w:ascii="Times New Roman" w:cs="Times New Roman" w:eastAsia="Times New Roman" w:hAnsi="Times New Roman"/>
          <w:i w:val="1"/>
          <w:iCs w:val="1"/>
          <w:vertAlign w:val="superscript"/>
        </w:rPr>
        <w:footnoteReference w:customMarkFollows="0" w:id="0"/>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 JURISPRUDENCIA Y ESTÁNDARES PROBATORIOS</w:t>
      </w:r>
    </w:p>
    <w:p w:rsidR="00000000" w:rsidDel="00000000" w:rsidP="00000000" w:rsidRDefault="00000000" w:rsidRPr="00000000" w14:paraId="0000000E">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tribunales españoles han comenzado a establecer criterios jurisprudenciales que exigen un estándar probatorio riguroso para considerar la IA como causa tecnológica de despido, requiriendo acreditar un impacto económico real y medible. La jurisprudencia reciente ha rechazado la mera alegación de implantación de IA como justificación suficiente, exigiendo a las empresas demostrar un nexo causal efectivo entre la automatización y la amortización del puesto de trabajo. En este sentido, Scarpa analiza la sentencia del TSJ de Castilla y León de 2025 y destaca que el tribunal exige un estándar probatorio riguroso: la empresa debe acreditar un impacto económico real y medible, y no basta con alegar la implantación de IA.⁵ Román Quevedo, por su parte, señala que la carga de la prueba en los despidos tecnológicos presenta uno de los principales desafíos para la garantía de los derechos laborales, debido a la asimetría informativa entre empresa y trabajador.⁶ La Sentencia del TSJ de Castilla y León núm. 3529/2025 confirma la procedencia del despido objetivo al considerar probado que la automatización avanzada y la gratuidad de herramientas de traducción en red constituyen causas económicas y productivas legítimas.⁷ Sin embargo, el TSJ de Cataluña declaró nulo un despido en 2024 porque la carta de extinción había sido generada íntegramente por IA, sin intervención humana, vulnerando el derecho a la tutela judicial efectiva. Se considera que la exigencia de un estándar probatorio riguroso constituye un acierto, aunque la asimetría informativa sigue siendo un obstáculo para los trabajadores.</w:t>
      </w:r>
    </w:p>
    <w:p w:rsidR="00000000" w:rsidDel="00000000" w:rsidP="00000000" w:rsidRDefault="00000000" w:rsidRPr="00000000" w14:paraId="0000000F">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 DESAFÍOS PARA LA PROTECCIÓN DE LOS DERECHOS LABORALES</w:t>
      </w:r>
    </w:p>
    <w:p w:rsidR="00000000" w:rsidDel="00000000" w:rsidP="00000000" w:rsidRDefault="00000000" w:rsidRPr="00000000" w14:paraId="0000001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automatización mediante IA plantea desafíos significativos para la protección de los derechos laborales, entre los que destacan la discriminación algorítmica, la opacidad de los sistemas y la insuficiencia de la supervisión humana como garantía efectiva. La «caja negra» de los algoritmos, sumada a la ausencia de un estatuto específico para el trabajador, genera una situación de vulnerabilidad que el ordenamiento actual no logra resolver satisfactoriamente. Corvalán aborda la opacidad algorítmica como el principal obstáculo para garantizar el derecho a la igualdad, señalando que la «caja negra» de los algoritmos impide su impugnación efectiva.⁸ Beltrán de Heredia Ruiz advierte que la supervisión humana exigida por el AI Act puede convertirse en una mera formalidad si no va acompañada de un control sustantivo real, lo que limita su eficacia como garantía.⁹ El AI Act impone obligaciones positivas a las empresas en materia de supervisión humana y transparencia,¹⁰ pero Pazos Pérez señala que la Ley 15/2022 es insuficiente porque no desarrolla un estatuto específico para el trabajador frente a los algoritmos.⁴ De Román Castro advierte que la regulación española corre el riesgo de quedarse corta si no aborda de manera específica las garantías procesales.¹¹ Se sostiene, por tanto, que los vacíos legales identificados exigen una respuesta normativa integral que aborde tanto la transparencia algorítmica como la participación de los trabajadores en el diseño y supervisión de los sistemas de IA.</w:t>
      </w:r>
      <w:r w:rsidDel="00000000" w:rsidR="00000000" w:rsidRPr="00000000">
        <w:rPr>
          <w:rFonts w:ascii="Times New Roman" w:cs="Times New Roman" w:eastAsia="Times New Roman" w:hAnsi="Times New Roman"/>
          <w:i w:val="1"/>
          <w:iCs w:val="1"/>
          <w:vertAlign w:val="superscript"/>
        </w:rPr>
        <w:footnoteReference w:customMarkFollows="0" w:id="1"/>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5. CONCLUSIONES Y PROPUESTAS</w:t>
      </w:r>
    </w:p>
    <w:p w:rsidR="00000000" w:rsidDel="00000000" w:rsidP="00000000" w:rsidRDefault="00000000" w:rsidRPr="00000000" w14:paraId="00000019">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 análisis del marco normativo, la jurisprudencia y los desafíos identificados se desprende que el ordenamiento laboral español se encuentra en un momento de transición, en el que los tribunales están supliendo la ausencia de una regulación específica mediante la imposición de estándares probatorios rigurosos. La exigencia jurisprudencial de acreditar un nexo causal real entre la implantación de IA y la amortización del puesto, junto con la declaración de nulidad de decisiones automatizadas sin intervención humana, demuestra que los tribunales están actuando como garantes de los derechos laborales ante la inactividad del legislador. Esta labor de los tribunales, sin embargo, no puede sustituir la necesidad de una regulación integral que aborde la transparencia algorítmica y la participación de los trabajadores en el diseño y supervisión de los sistemas de IA.</w:t>
      </w:r>
    </w:p>
    <w:p w:rsidR="00000000" w:rsidDel="00000000" w:rsidP="00000000" w:rsidRDefault="00000000" w:rsidRPr="00000000" w14:paraId="0000001A">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Frente a la tesis defendida, una corriente doctrinal sostiene que el ordenamiento jurídico actual —integrado por el artículo 52.c) del Estatuto de los Trabajadores, el Reglamento Europeo de IA y la jurisprudencia emergente— ya proporciona herramientas suficientes para resolver los despidos derivados de la automatización, sin necesidad de un estatuto específico para el trabajador. Según esta posición, la cláusula general de causas técnicas y organizativas permite una interpretación evolutiva que abarca la IA, y el AI Act ya impone obligaciones de transparencia y supervisión humana que garantizan un control adecuado. Además, los tribunales, mediante la aplicación de los estándares probatorios rigurosos, están corrigiendo eventuales abusos, por lo que una regulación adicional resultaría redundante y podría frenar la innovación empresarial.¹²</w:t>
      </w:r>
    </w:p>
    <w:p w:rsidR="00000000" w:rsidDel="00000000" w:rsidP="00000000" w:rsidRDefault="00000000" w:rsidRPr="00000000" w14:paraId="0000001B">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Sin embargo, esta postura resulta insuficiente por varias razones. En primer lugar, el artículo 52.c) fue concebido para procesos de reestructuración productiva tradicionales, no para la sustitución de puestos de trabajo por algoritmos autónomos, lo que genera inseguridad jurídica al depender de interpretaciones judiciales caso por caso.¹³ En segundo lugar, el AI Act, aunque pionero, no regula la extinción contractual ni los derechos procesales de los trabajadores afectados; sus obligaciones de transparencia y supervisión se dirigen a los sistemas de alto riesgo en general, pero no establecen garantías específicas para el empleado frente a decisiones automatizadas que afectan su estabilidad laboral.¹⁴ En tercer lugar, la jurisprudencia, pese a su labor garantista, se enfrenta a la asimetría informativa: el trabajador carece de acceso al código y a los datos de entrenamiento, lo que dificulta la impugnación efectiva de la decisión algorítmica.¹⁵ La mera supervisión humana, como advierte Beltrán de Heredia, puede convertirse en un mero trámite si no se dota de contenido sustantivo y de participación real del trabajador.¹⁶</w:t>
      </w:r>
    </w:p>
    <w:p w:rsidR="00000000" w:rsidDel="00000000" w:rsidP="00000000" w:rsidRDefault="00000000" w:rsidRPr="00000000" w14:paraId="0000001C">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Por tanto, la regulación vigente, por sí sola, no aborda la opacidad algorítmica, ni garantiza el derecho a la información previa y cualificada, ni establece mecanismos de participación en el diseño y auditoría de los sistemas de IA que toman decisiones extintivas. Un estatuto específico no sería redundante, sino necesario para traducir los principios del AI Act en garantías procesales efectivas, evitar la discrecionalidad judicial y proteger la estabilidad en el empleo frente a la automatización.</w:t>
      </w:r>
    </w:p>
    <w:p w:rsidR="00000000" w:rsidDel="00000000" w:rsidP="00000000" w:rsidRDefault="00000000" w:rsidRPr="00000000" w14:paraId="0000001D">
      <w:pPr>
        <w:spacing w:line="360" w:lineRule="auto"/>
        <w:jc w:val="both"/>
        <w:rPr>
          <w:rFonts w:ascii="Times New Roman" w:cs="Times New Roman" w:eastAsia="Times New Roman" w:hAnsi="Times New Roman"/>
          <w:i w:val="1"/>
          <w:iCs w:val="1"/>
          <w:vertAlign w:val="superscript"/>
        </w:rPr>
      </w:pPr>
      <w:r w:rsidDel="00000000" w:rsidR="00000000" w:rsidRPr="00000000">
        <w:rPr>
          <w:rFonts w:ascii="Times New Roman" w:cs="Times New Roman" w:eastAsia="Times New Roman" w:hAnsi="Times New Roman"/>
          <w:i w:val="1"/>
          <w:iCs w:val="1"/>
          <w:rtl w:val="0"/>
        </w:rPr>
        <w:t xml:space="preserve">Se considera que la IA puede constituir una causa tecnológica legítima de despido, pero únicamente cuando se acredite un impacto económico real y medible, y siempre que se respeten las garantías procesales y los derechos de información de los trabajadores. Esta posición se fundamenta en la interpretación sistemática del artículo 52.c) del Estatuto de los Trabajadores, en consonancia con los principios de estabilidad en el empleo y tutela judicial efectiva, y en la necesidad de evitar que la automatización se convierta en una excusa tecnológica para despidos carentes de justificación real. Asimismo, resulta imprescindible que el legislador desarrolle un estatuto específico para el trabajador frente a los algoritmos, que garantice la transparencia, la participación y la supervisión efectiva de los sistemas de IA, tal como ha sido sugerido por Pazos Pérez¹⁷ y De Román Castro.¹⁸ </w:t>
      </w:r>
      <w:r w:rsidDel="00000000" w:rsidR="00000000" w:rsidRPr="00000000">
        <w:rPr>
          <w:rFonts w:ascii="Times New Roman" w:cs="Times New Roman" w:eastAsia="Times New Roman" w:hAnsi="Times New Roman"/>
          <w:i w:val="1"/>
          <w:iCs w:val="1"/>
          <w:vertAlign w:val="superscript"/>
        </w:rPr>
        <w:footnoteReference w:customMarkFollows="0" w:id="2"/>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6. REFLEXIÓN FINAL</w:t>
      </w:r>
    </w:p>
    <w:p w:rsidR="00000000" w:rsidDel="00000000" w:rsidP="00000000" w:rsidRDefault="00000000" w:rsidRPr="00000000" w14:paraId="00000021">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inteligencia artificial se ha consolidado como causa tecnológica de despido en el ordenamiento laboral español durante el período 2022-2026 a través de una labor jurisprudencial que ha establecido estándares probatorios rigurosos, exigiendo a las empresas acreditar un impacto económico real y medible, y rechazando la mera alegación de implantación de IA como justificación suficiente. La sentencia del TSJ de Castilla y León de 2025 constituye el hito jurisprudencial más relevante, al confirmar la procedencia del despido objetivo cuando se acredita que la automatización avanzada constituye una causa productiva legítima.¹⁹ No obstante, la consolidación jurisprudencial no puede ocultar la ausencia de una regulación específica que aborde de manera integral los desafíos que plantea la automatización.</w:t>
      </w:r>
      <w:r w:rsidDel="00000000" w:rsidR="00000000" w:rsidRPr="00000000">
        <w:rPr>
          <w:rFonts w:ascii="Times New Roman" w:cs="Times New Roman" w:eastAsia="Times New Roman" w:hAnsi="Times New Roman"/>
          <w:i w:val="1"/>
          <w:iCs w:val="1"/>
          <w:vertAlign w:val="superscript"/>
        </w:rPr>
        <w:footnoteReference w:customMarkFollows="0" w:id="3"/>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principal aporte de esta investigación consiste en sistematizar los criterios jurisprudenciales emergentes y evidenciar la necesidad de una regulación integral que aborde la transparencia algorítmica, la participación de los trabajadores y la supervisión efectiva de los sistemas de IA, superando la actual situación en la que los tribunales están supliendo la inactividad del legislador. La investigación demuestra que, si bien los tribunales han logrado establecer garantías procesales importantes, estas resultan insuficientes para abordar los desafíos estructurales que plantea la automatización, entre los que destacan la discriminación algorítmica, la opacidad de los sistemas y la asimetría informativa. Resulta, por tanto, imprescindible que el legislador desarrolle un estatuto específico para el trabajador frente a los algoritmos, en línea con las exigencias del Reglamento Europeo de IA.</w:t>
      </w:r>
    </w:p>
    <w:p w:rsidR="00000000" w:rsidDel="00000000" w:rsidP="00000000" w:rsidRDefault="00000000" w:rsidRPr="00000000" w14:paraId="00000023">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BIBLIOGRAFÍA</w:t>
      </w:r>
    </w:p>
    <w:p w:rsidR="00000000" w:rsidDel="00000000" w:rsidP="00000000" w:rsidRDefault="00000000" w:rsidRPr="00000000" w14:paraId="00000025">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Beltrán de Heredia Ruiz, Ignasi. «La gobernanza algorítmica en el trabajo tras el AI Act». Revista de Derecho Social, n.º 106 (2025): 85-110.</w:t>
      </w:r>
    </w:p>
    <w:p w:rsidR="00000000" w:rsidDel="00000000" w:rsidP="00000000" w:rsidRDefault="00000000" w:rsidRPr="00000000" w14:paraId="00000026">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Corvalán, Juan Gustavo. Inteligencia artificial y transparencia algorítmica. Madrid: Marcial Pons, 2024.</w:t>
      </w:r>
    </w:p>
    <w:p w:rsidR="00000000" w:rsidDel="00000000" w:rsidP="00000000" w:rsidRDefault="00000000" w:rsidRPr="00000000" w14:paraId="00000027">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 Román Castro, Carlos. «Garantías del trabajador frente a la decisión automatizada en el ordenamiento español». Anuario de la Facultad de Derecho, Universidad Autónoma de Madrid, n.º 28 (2025): 55-78.</w:t>
      </w:r>
    </w:p>
    <w:p w:rsidR="00000000" w:rsidDel="00000000" w:rsidP="00000000" w:rsidRDefault="00000000" w:rsidRPr="00000000" w14:paraId="00000028">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Pazos Pérez, Alexandre. La inteligencia artificial en las relaciones laborales: El uso de algoritmos en la selección de personal y en la extinción contractual. Cizur Menor: Aranzadi, 2026.</w:t>
      </w:r>
    </w:p>
    <w:p w:rsidR="00000000" w:rsidDel="00000000" w:rsidP="00000000" w:rsidRDefault="00000000" w:rsidRPr="00000000" w14:paraId="00000029">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Rodríguez-Piñero Royo, Miguel. «Derecho del trabajo, inteligencia artificial y tutela de las personas». Teoría y derecho: revista de pensamiento jurídico, n.º 37 (2024): 120-149.</w:t>
      </w:r>
    </w:p>
    <w:p w:rsidR="00000000" w:rsidDel="00000000" w:rsidP="00000000" w:rsidRDefault="00000000" w:rsidRPr="00000000" w14:paraId="0000002A">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Román Quevedo, Pablo. «La carga de la prueba en los despidos tecnológicos». Revista de Derecho Social, n.º 108 (2025): 45-68.</w:t>
      </w:r>
    </w:p>
    <w:p w:rsidR="00000000" w:rsidDel="00000000" w:rsidP="00000000" w:rsidRDefault="00000000" w:rsidRPr="00000000" w14:paraId="0000002B">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Scarpa, Ricardo. «La Inteligencia Artificial como Causa Objetiva de Despido: Análisis de la Sentencia del TSJ de Castilla y León de 15 de septiembre de 2025.</w:t>
      </w:r>
    </w:p>
    <w:p w:rsidR="00000000" w:rsidDel="00000000" w:rsidP="00000000" w:rsidRDefault="00000000" w:rsidRPr="00000000" w14:paraId="0000002C">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Todolí Signes, Adrián. Algoritmos productivos y extractivos: Cómo regular la digitalización para mejorar el empleo e incentivar la innovación. Valencia: Tirant lo Blanch, 2023.</w:t>
      </w:r>
    </w:p>
    <w:p w:rsidR="00000000" w:rsidDel="00000000" w:rsidP="00000000" w:rsidRDefault="00000000" w:rsidRPr="00000000" w14:paraId="0000002D">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Adrián Todolí Signes,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Algoritmos productivos y extractivos: Cómo regular la digitalización para mejorar el empleo e incentivar la innovación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(Valencia: Tirant lo Blanch, 2023), 45.</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Miguel Rodríguez-Piñero Royo, «Derecho del trabajo, inteligencia artificial y tutela de las personas»,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Teoría y derecho: revista de pensamiento jurídico</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n.º 37 (2024): 130.</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Reglamento (UE) 2024/1689 del Parlamento Europeo y del Consejo, de 13 de junio de 2024, art. 3.1.</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Alexandre Pazos Pérez, La inteligencia artificial en las relaciones laborales: El uso de algoritmos en la selección de personal y en la extinción contractual (Cizur Menor: Aranzadi, 2026), 45.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Ricardo Scarpa, «La Inteligencia Artificial como Causa Objetiva de Despido: Análisis de la Sentencia del TSJ de Castilla y León de 15 de septiembre de 2025.</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Pablo Román Quevedo, «La carga de la prueba en los despidos tecnológicos»,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Revista de Derecho Social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n.º 108 (2025): 52.</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Tribunal Superior de Justicia de Castilla y León, Sala de lo Social, Sentencia núm. 3529/2025, de 15 de septiembre de 2025 (ECLI: ES:TSJCL:2025:3529).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Juan Gustavo Corvalán,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Inteligencia artificial y transparencia algorítmica</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(Madrid: Marcial Pons, 2024), 78.</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Ignasi Beltrán de Heredia Ruiz, «La gobernanza algorítmica en el trabajo tras el AI Act»,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Revista de Derecho Social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n.º 106 (2025): 92.</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Reglamento (UE) 2024/1689, arts. 14 y 15.</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Carlos De Román Castro, «Garantías del trabajador frente a la decisión automatizada en el ordenamiento español»,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Anuario de la Facultad de Derecho</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Universidad Autónoma de Madrid, n.º 28 (2025): 67.</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Esta postura es sostenida, por ejemplo, por algunos autores que confían en la adaptabilidad del Estatuto de los Trabajadores y en la labor de los tribunales; véase, a modo de referencia, la posición implícita en ciertos comentarios jurisprudenciales que consideran suficiente la aplicación analógica de las causas objetivas tradicionales.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Todolí Signes,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Algoritmos productivos y extractivos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78-80.</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Pazos Pérez,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La inteligencia artificial en las relaciones laborales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112-115.</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Román Quevedo, «La carga de la prueba», 58-60.</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Beltrán de Heredia Ruiz, «La gobernanza algorítmica», 95-97.</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Pazos Pérez,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La inteligencia artificial en las relaciones laborales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120.</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 Román Castro, «Garantías del trabajador», 73.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19. Tribunal Superior de Justicia de Castilla y León, Sentencia núm. 3529/2025.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4"/>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5"/>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D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