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E59A" w14:textId="77777777" w:rsidR="00A16703" w:rsidRPr="003D6C2A" w:rsidRDefault="00A16703" w:rsidP="00A16703">
      <w:pPr>
        <w:spacing w:line="360" w:lineRule="auto"/>
        <w:jc w:val="center"/>
        <w:rPr>
          <w:rFonts w:ascii="Times New Roman" w:hAnsi="Times New Roman" w:cs="Times New Roman"/>
        </w:rPr>
      </w:pPr>
      <w:r w:rsidRPr="003D6C2A">
        <w:rPr>
          <w:rFonts w:ascii="Times New Roman" w:hAnsi="Times New Roman" w:cs="Times New Roman"/>
        </w:rPr>
        <w:fldChar w:fldCharType="begin"/>
      </w:r>
      <w:r w:rsidRPr="003D6C2A">
        <w:rPr>
          <w:rFonts w:ascii="Times New Roman" w:hAnsi="Times New Roman" w:cs="Times New Roman"/>
        </w:rPr>
        <w:instrText xml:space="preserve"> INCLUDEPICTURE "https://pucmm.edu.do/recursos/PublishingImages/Paginas/logos/Logo%20PUCMM%20(Color).png" \* MERGEFORMATINET </w:instrText>
      </w:r>
      <w:r w:rsidRPr="003D6C2A">
        <w:rPr>
          <w:rFonts w:ascii="Times New Roman" w:hAnsi="Times New Roman" w:cs="Times New Roman"/>
        </w:rPr>
        <w:fldChar w:fldCharType="separate"/>
      </w:r>
      <w:r w:rsidRPr="003D6C2A">
        <w:rPr>
          <w:rFonts w:ascii="Times New Roman" w:hAnsi="Times New Roman" w:cs="Times New Roman"/>
          <w:noProof/>
        </w:rPr>
        <w:drawing>
          <wp:inline distT="0" distB="0" distL="0" distR="0" wp14:anchorId="1708636D" wp14:editId="37DB0505">
            <wp:extent cx="2207941" cy="2207941"/>
            <wp:effectExtent l="0" t="0" r="1905" b="1905"/>
            <wp:docPr id="1480107631" name="Imagen 1" descr="Recursos Logosí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ursos Logosímbol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6992" cy="2256992"/>
                    </a:xfrm>
                    <a:prstGeom prst="rect">
                      <a:avLst/>
                    </a:prstGeom>
                    <a:noFill/>
                    <a:ln>
                      <a:noFill/>
                    </a:ln>
                  </pic:spPr>
                </pic:pic>
              </a:graphicData>
            </a:graphic>
          </wp:inline>
        </w:drawing>
      </w:r>
      <w:r w:rsidRPr="003D6C2A">
        <w:rPr>
          <w:rFonts w:ascii="Times New Roman" w:hAnsi="Times New Roman" w:cs="Times New Roman"/>
        </w:rPr>
        <w:fldChar w:fldCharType="end"/>
      </w:r>
    </w:p>
    <w:p w14:paraId="28011DE3" w14:textId="77777777" w:rsidR="00A16703" w:rsidRPr="003D6C2A" w:rsidRDefault="00A16703" w:rsidP="00A16703">
      <w:pPr>
        <w:spacing w:line="360" w:lineRule="auto"/>
        <w:rPr>
          <w:rFonts w:ascii="Times New Roman" w:hAnsi="Times New Roman" w:cs="Times New Roman"/>
        </w:rPr>
      </w:pPr>
    </w:p>
    <w:p w14:paraId="4DE4583E" w14:textId="77777777" w:rsidR="00A16703" w:rsidRPr="003D6C2A" w:rsidRDefault="00A16703" w:rsidP="00A16703">
      <w:pPr>
        <w:spacing w:line="360" w:lineRule="auto"/>
        <w:jc w:val="center"/>
        <w:rPr>
          <w:rFonts w:ascii="Times New Roman" w:hAnsi="Times New Roman" w:cs="Times New Roman"/>
        </w:rPr>
      </w:pPr>
    </w:p>
    <w:p w14:paraId="22571B18" w14:textId="53A2E813" w:rsidR="00A16703" w:rsidRPr="003D6C2A" w:rsidRDefault="00A16703" w:rsidP="00A16703">
      <w:pPr>
        <w:spacing w:line="360" w:lineRule="auto"/>
        <w:jc w:val="center"/>
        <w:rPr>
          <w:rFonts w:ascii="Times New Roman" w:hAnsi="Times New Roman" w:cs="Times New Roman"/>
        </w:rPr>
      </w:pPr>
      <w:r w:rsidRPr="003D6C2A">
        <w:rPr>
          <w:rFonts w:ascii="Times New Roman" w:eastAsia="Verdana" w:hAnsi="Times New Roman" w:cs="Times New Roman"/>
          <w:color w:val="000000"/>
        </w:rPr>
        <w:t>DERECHO</w:t>
      </w:r>
    </w:p>
    <w:p w14:paraId="02B7375F" w14:textId="77777777" w:rsidR="00A16703" w:rsidRPr="003D6C2A" w:rsidRDefault="00A16703" w:rsidP="00A16703">
      <w:pPr>
        <w:spacing w:line="360" w:lineRule="auto"/>
        <w:rPr>
          <w:rFonts w:ascii="Times New Roman" w:hAnsi="Times New Roman" w:cs="Times New Roman"/>
        </w:rPr>
      </w:pPr>
    </w:p>
    <w:p w14:paraId="49D3EE36" w14:textId="77777777" w:rsidR="00A16703" w:rsidRPr="003D6C2A" w:rsidRDefault="00A16703" w:rsidP="00A16703">
      <w:pPr>
        <w:spacing w:line="360" w:lineRule="auto"/>
        <w:jc w:val="center"/>
        <w:rPr>
          <w:rFonts w:ascii="Times New Roman" w:hAnsi="Times New Roman" w:cs="Times New Roman"/>
          <w:b/>
          <w:bCs/>
          <w:color w:val="002060"/>
        </w:rPr>
      </w:pPr>
      <w:r w:rsidRPr="003D6C2A">
        <w:rPr>
          <w:rFonts w:ascii="Times New Roman" w:hAnsi="Times New Roman" w:cs="Times New Roman"/>
          <w:b/>
          <w:bCs/>
          <w:color w:val="002060"/>
        </w:rPr>
        <w:t>LA INEFICACIA DEL SISTEMA PENITENCIARIO DOMINICANO Y SUS EFECTOS SOBRE LA REINSERCIÓN SOCIAL DE LAS PERSONAS PRIVADAS DE LIBERTAD.</w:t>
      </w:r>
    </w:p>
    <w:p w14:paraId="62665806" w14:textId="77777777" w:rsidR="00A16703" w:rsidRPr="003D6C2A" w:rsidRDefault="00A16703" w:rsidP="00A16703">
      <w:pPr>
        <w:spacing w:line="360" w:lineRule="auto"/>
        <w:rPr>
          <w:rFonts w:ascii="Times New Roman" w:hAnsi="Times New Roman" w:cs="Times New Roman"/>
        </w:rPr>
      </w:pPr>
    </w:p>
    <w:p w14:paraId="0B4BB6D3" w14:textId="77777777" w:rsidR="00A16703" w:rsidRPr="003D6C2A" w:rsidRDefault="00A16703" w:rsidP="00A16703">
      <w:pPr>
        <w:spacing w:line="360" w:lineRule="auto"/>
        <w:jc w:val="center"/>
        <w:rPr>
          <w:rFonts w:ascii="Times New Roman" w:hAnsi="Times New Roman" w:cs="Times New Roman"/>
        </w:rPr>
      </w:pPr>
      <w:r w:rsidRPr="003D6C2A">
        <w:rPr>
          <w:rFonts w:ascii="Times New Roman" w:eastAsia="Verdana" w:hAnsi="Times New Roman" w:cs="Times New Roman"/>
          <w:b/>
          <w:bCs/>
        </w:rPr>
        <w:t>Autor</w:t>
      </w:r>
      <w:r w:rsidRPr="003D6C2A">
        <w:rPr>
          <w:rFonts w:ascii="Times New Roman" w:eastAsia="Verdana" w:hAnsi="Times New Roman" w:cs="Times New Roman"/>
        </w:rPr>
        <w:t>:</w:t>
      </w:r>
    </w:p>
    <w:p w14:paraId="6144F7BF" w14:textId="731DA72A" w:rsidR="00A16703" w:rsidRPr="003D6C2A" w:rsidRDefault="00A16703" w:rsidP="00A16703">
      <w:pPr>
        <w:spacing w:line="360" w:lineRule="auto"/>
        <w:jc w:val="center"/>
        <w:rPr>
          <w:rFonts w:ascii="Times New Roman" w:hAnsi="Times New Roman" w:cs="Times New Roman"/>
          <w:color w:val="002060"/>
        </w:rPr>
      </w:pPr>
      <w:r w:rsidRPr="003D6C2A">
        <w:rPr>
          <w:rFonts w:ascii="Times New Roman" w:hAnsi="Times New Roman" w:cs="Times New Roman"/>
          <w:color w:val="002060"/>
        </w:rPr>
        <w:t>Alexia Matos</w:t>
      </w:r>
    </w:p>
    <w:p w14:paraId="2DE13906" w14:textId="77777777" w:rsidR="00A16703" w:rsidRPr="003D6C2A" w:rsidRDefault="00A16703" w:rsidP="00A16703">
      <w:pPr>
        <w:spacing w:line="360" w:lineRule="auto"/>
        <w:jc w:val="center"/>
        <w:rPr>
          <w:rFonts w:ascii="Times New Roman" w:hAnsi="Times New Roman" w:cs="Times New Roman"/>
        </w:rPr>
      </w:pPr>
    </w:p>
    <w:p w14:paraId="34555E77" w14:textId="77777777" w:rsidR="00A16703" w:rsidRPr="003D6C2A" w:rsidRDefault="00A16703" w:rsidP="00A16703">
      <w:pPr>
        <w:spacing w:line="360" w:lineRule="auto"/>
        <w:jc w:val="center"/>
        <w:rPr>
          <w:rFonts w:ascii="Times New Roman" w:hAnsi="Times New Roman" w:cs="Times New Roman"/>
          <w:b/>
          <w:bCs/>
        </w:rPr>
      </w:pPr>
      <w:r w:rsidRPr="003D6C2A">
        <w:rPr>
          <w:rFonts w:ascii="Times New Roman" w:eastAsia="Verdana" w:hAnsi="Times New Roman" w:cs="Times New Roman"/>
          <w:b/>
          <w:bCs/>
        </w:rPr>
        <w:t>Asesor metodológico:</w:t>
      </w:r>
    </w:p>
    <w:p w14:paraId="4A15D96A" w14:textId="77777777" w:rsidR="00A16703" w:rsidRPr="003D6C2A" w:rsidRDefault="00A16703" w:rsidP="00A16703">
      <w:pPr>
        <w:spacing w:line="360" w:lineRule="auto"/>
        <w:jc w:val="center"/>
        <w:rPr>
          <w:rFonts w:ascii="Times New Roman" w:hAnsi="Times New Roman" w:cs="Times New Roman"/>
          <w:color w:val="002060"/>
        </w:rPr>
      </w:pPr>
      <w:r w:rsidRPr="003D6C2A">
        <w:rPr>
          <w:rFonts w:ascii="Times New Roman" w:hAnsi="Times New Roman" w:cs="Times New Roman"/>
          <w:color w:val="002060"/>
        </w:rPr>
        <w:t>Ana Magnolia</w:t>
      </w:r>
    </w:p>
    <w:p w14:paraId="43429DB6" w14:textId="77777777" w:rsidR="00A16703" w:rsidRPr="003D6C2A" w:rsidRDefault="00A16703" w:rsidP="00A16703">
      <w:pPr>
        <w:spacing w:line="360" w:lineRule="auto"/>
        <w:jc w:val="center"/>
        <w:rPr>
          <w:rFonts w:ascii="Times New Roman" w:hAnsi="Times New Roman" w:cs="Times New Roman"/>
          <w:color w:val="0066B3"/>
        </w:rPr>
      </w:pPr>
    </w:p>
    <w:p w14:paraId="40924BCC" w14:textId="77777777" w:rsidR="00A16703" w:rsidRPr="003D6C2A" w:rsidRDefault="00A16703" w:rsidP="00A16703">
      <w:pPr>
        <w:spacing w:line="360" w:lineRule="auto"/>
        <w:rPr>
          <w:rFonts w:ascii="Times New Roman" w:hAnsi="Times New Roman" w:cs="Times New Roman"/>
        </w:rPr>
      </w:pPr>
    </w:p>
    <w:p w14:paraId="4772973E" w14:textId="77777777" w:rsidR="00A16703" w:rsidRPr="003D6C2A" w:rsidRDefault="00A16703" w:rsidP="00A16703">
      <w:pPr>
        <w:spacing w:line="360" w:lineRule="auto"/>
        <w:jc w:val="center"/>
        <w:rPr>
          <w:rFonts w:ascii="Times New Roman" w:hAnsi="Times New Roman" w:cs="Times New Roman"/>
        </w:rPr>
      </w:pPr>
    </w:p>
    <w:p w14:paraId="1220FFF7" w14:textId="77777777" w:rsidR="00A16703" w:rsidRPr="003D6C2A" w:rsidRDefault="00A16703" w:rsidP="00A16703">
      <w:pPr>
        <w:spacing w:line="360" w:lineRule="auto"/>
        <w:jc w:val="center"/>
        <w:rPr>
          <w:rFonts w:ascii="Times New Roman" w:hAnsi="Times New Roman" w:cs="Times New Roman"/>
          <w:color w:val="002060"/>
        </w:rPr>
      </w:pPr>
      <w:r w:rsidRPr="003D6C2A">
        <w:rPr>
          <w:rFonts w:ascii="Times New Roman" w:eastAsia="Verdana" w:hAnsi="Times New Roman" w:cs="Times New Roman"/>
          <w:color w:val="002060"/>
        </w:rPr>
        <w:t>Junio 2026</w:t>
      </w:r>
    </w:p>
    <w:p w14:paraId="742ED1F4"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0C7E7D2C"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430CC257"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1A67253A"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1AD86FDD"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76443AAF"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4B8E9FAD"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7B29BDA5"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1A29E32D"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val="es-DO" w:eastAsia="es-MX"/>
          <w14:ligatures w14:val="none"/>
        </w:rPr>
      </w:pPr>
    </w:p>
    <w:p w14:paraId="301ED36B" w14:textId="0B5D6CF6" w:rsidR="00955218" w:rsidRPr="003D6C2A" w:rsidRDefault="00955218" w:rsidP="00955218">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val="es-DO" w:eastAsia="es-MX"/>
          <w14:ligatures w14:val="none"/>
        </w:rPr>
      </w:pPr>
      <w:r w:rsidRPr="003D6C2A">
        <w:rPr>
          <w:rFonts w:ascii="Times New Roman" w:eastAsia="Times New Roman" w:hAnsi="Times New Roman" w:cs="Times New Roman"/>
          <w:b/>
          <w:bCs/>
          <w:kern w:val="36"/>
          <w:sz w:val="40"/>
          <w:szCs w:val="40"/>
          <w:lang w:val="es-DO" w:eastAsia="es-MX"/>
          <w14:ligatures w14:val="none"/>
        </w:rPr>
        <w:t>La ineficacia del sistema penitenciario dominicano y sus efectos sobre la reinserción social de las personas privadas de libertad</w:t>
      </w:r>
    </w:p>
    <w:p w14:paraId="4BFAA263"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1DF3C864"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4B211F05"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05E4A861"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47D56E88"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6F9750D9"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408F47E1"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53F39D27"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2380BEB7"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6BACEBB5" w14:textId="77777777" w:rsidR="00A16703" w:rsidRPr="003D6C2A" w:rsidRDefault="00A16703"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77CB8229" w14:textId="77777777" w:rsidR="003D6C2A" w:rsidRPr="003D6C2A" w:rsidRDefault="003D6C2A" w:rsidP="00955218">
      <w:pPr>
        <w:spacing w:before="100" w:beforeAutospacing="1" w:after="100" w:afterAutospacing="1" w:line="240" w:lineRule="auto"/>
        <w:jc w:val="both"/>
        <w:outlineLvl w:val="0"/>
        <w:rPr>
          <w:rFonts w:ascii="Times New Roman" w:eastAsia="Times New Roman" w:hAnsi="Times New Roman" w:cs="Times New Roman"/>
          <w:b/>
          <w:bCs/>
          <w:kern w:val="36"/>
          <w:lang w:val="es-DO" w:eastAsia="es-MX"/>
          <w14:ligatures w14:val="none"/>
        </w:rPr>
      </w:pPr>
    </w:p>
    <w:p w14:paraId="436A2E6D" w14:textId="77777777" w:rsidR="003D6C2A" w:rsidRPr="003D6C2A" w:rsidRDefault="003D6C2A" w:rsidP="003D6C2A">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lang w:val="es-DO" w:eastAsia="es-MX"/>
          <w14:ligatures w14:val="none"/>
        </w:rPr>
      </w:pPr>
      <w:r w:rsidRPr="003D6C2A">
        <w:rPr>
          <w:rFonts w:ascii="Times New Roman" w:eastAsia="Times New Roman" w:hAnsi="Times New Roman" w:cs="Times New Roman"/>
          <w:b/>
          <w:bCs/>
          <w:color w:val="000000" w:themeColor="text1"/>
          <w:kern w:val="36"/>
          <w:lang w:val="es-DO" w:eastAsia="es-MX"/>
          <w14:ligatures w14:val="none"/>
        </w:rPr>
        <w:lastRenderedPageBreak/>
        <w:t>RESUMEN</w:t>
      </w:r>
    </w:p>
    <w:p w14:paraId="5B83F1F3" w14:textId="77777777" w:rsidR="003D6C2A" w:rsidRPr="003D6C2A" w:rsidRDefault="003D6C2A" w:rsidP="003D6C2A">
      <w:pPr>
        <w:spacing w:before="100" w:beforeAutospacing="1" w:after="100" w:afterAutospacing="1" w:line="240" w:lineRule="auto"/>
        <w:jc w:val="both"/>
        <w:rPr>
          <w:rFonts w:ascii="Times New Roman" w:eastAsia="Times New Roman" w:hAnsi="Times New Roman" w:cs="Times New Roman"/>
          <w:color w:val="000000" w:themeColor="text1"/>
          <w:kern w:val="0"/>
          <w:lang w:val="es-DO" w:eastAsia="es-MX"/>
          <w14:ligatures w14:val="none"/>
        </w:rPr>
      </w:pPr>
      <w:r w:rsidRPr="003D6C2A">
        <w:rPr>
          <w:rFonts w:ascii="Times New Roman" w:eastAsia="Times New Roman" w:hAnsi="Times New Roman" w:cs="Times New Roman"/>
          <w:color w:val="000000" w:themeColor="text1"/>
          <w:kern w:val="0"/>
          <w:lang w:val="es-DO" w:eastAsia="es-MX"/>
          <w14:ligatures w14:val="none"/>
        </w:rPr>
        <w:t xml:space="preserve">La reinserción social constituye una de las finalidades esenciales de la pena privativa de libertad dentro del ordenamiento jurídico dominicano. No obstante, las condiciones actuales del sistema penitenciario plantean dudas sobre la eficacia de los mecanismos destinados a alcanzar ese objetivo. El presente ensayo tiene como propósito analizar si los mecanismos de reinserción social implementados en la República Dominicana resultan eficaces para lograr la integración de las personas privadas de libertad a la sociedad. Para ello, se empleó una metodología de carácter jurídico-documental, basada en el análisis de doctrina especializada, legislación nacional, jurisprudencia del Tribunal Constitucional, instrumentos internacionales e informes oficiales sobre el sistema penitenciario. Los resultados evidencian que, aunque existe un marco constitucional y legal que reconoce la rehabilitación como finalidad de la pena, persisten deficiencias estructurales, como el hacinamiento, la limitada cobertura de programas de tratamiento penitenciario y las dificultades para garantizar plenamente los derechos fundamentales de las personas privadas de libertad. Se concluye que la principal limitación del sistema penitenciario dominicano no radica en la ausencia de normas jurídicas, sino en la insuficiente aplicación práctica de los mecanismos de reinserción social, lo que reduce su capacidad para cumplir la finalidad resocializadora prevista por el ordenamiento jurídico. </w:t>
      </w:r>
    </w:p>
    <w:p w14:paraId="6FE5D5C2" w14:textId="77777777" w:rsidR="003D6C2A" w:rsidRPr="003D6C2A" w:rsidRDefault="003D6C2A" w:rsidP="003D6C2A">
      <w:pPr>
        <w:spacing w:before="100" w:beforeAutospacing="1" w:after="100" w:afterAutospacing="1" w:line="240" w:lineRule="auto"/>
        <w:jc w:val="both"/>
        <w:rPr>
          <w:rFonts w:ascii="Times New Roman" w:eastAsia="Times New Roman" w:hAnsi="Times New Roman" w:cs="Times New Roman"/>
          <w:color w:val="000000" w:themeColor="text1"/>
          <w:kern w:val="0"/>
          <w:lang w:val="es-DO" w:eastAsia="es-MX"/>
          <w14:ligatures w14:val="none"/>
        </w:rPr>
      </w:pPr>
      <w:r w:rsidRPr="003D6C2A">
        <w:rPr>
          <w:rFonts w:ascii="Times New Roman" w:eastAsia="Times New Roman" w:hAnsi="Times New Roman" w:cs="Times New Roman"/>
          <w:b/>
          <w:bCs/>
          <w:color w:val="000000" w:themeColor="text1"/>
          <w:kern w:val="0"/>
          <w:lang w:val="es-DO" w:eastAsia="es-MX"/>
          <w14:ligatures w14:val="none"/>
        </w:rPr>
        <w:t>Palabras clave:</w:t>
      </w:r>
      <w:r w:rsidRPr="003D6C2A">
        <w:rPr>
          <w:rFonts w:ascii="Times New Roman" w:eastAsia="Times New Roman" w:hAnsi="Times New Roman" w:cs="Times New Roman"/>
          <w:color w:val="000000" w:themeColor="text1"/>
          <w:kern w:val="0"/>
          <w:lang w:val="es-DO" w:eastAsia="es-MX"/>
          <w14:ligatures w14:val="none"/>
        </w:rPr>
        <w:t xml:space="preserve"> sistema penitenciario dominicano; reinserción social; derechos fundamentales; rehabilitación; personas privadas de libertad.</w:t>
      </w:r>
    </w:p>
    <w:p w14:paraId="5F46758D" w14:textId="432F1E44" w:rsidR="003D6C2A" w:rsidRPr="003D6C2A" w:rsidRDefault="003D6C2A" w:rsidP="003D6C2A">
      <w:pPr>
        <w:spacing w:after="0" w:line="240" w:lineRule="auto"/>
        <w:jc w:val="both"/>
        <w:rPr>
          <w:rFonts w:ascii="Times New Roman" w:eastAsia="Times New Roman" w:hAnsi="Times New Roman" w:cs="Times New Roman"/>
          <w:color w:val="000000" w:themeColor="text1"/>
          <w:kern w:val="0"/>
          <w:lang w:val="es-DO" w:eastAsia="es-MX"/>
          <w14:ligatures w14:val="none"/>
        </w:rPr>
      </w:pPr>
    </w:p>
    <w:p w14:paraId="2D1888A7" w14:textId="77777777" w:rsidR="003D6C2A" w:rsidRPr="003D6C2A" w:rsidRDefault="003D6C2A" w:rsidP="003D6C2A">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lang w:val="en-US" w:eastAsia="es-MX"/>
          <w14:ligatures w14:val="none"/>
        </w:rPr>
      </w:pPr>
      <w:r w:rsidRPr="003D6C2A">
        <w:rPr>
          <w:rFonts w:ascii="Times New Roman" w:eastAsia="Times New Roman" w:hAnsi="Times New Roman" w:cs="Times New Roman"/>
          <w:b/>
          <w:bCs/>
          <w:color w:val="000000" w:themeColor="text1"/>
          <w:kern w:val="36"/>
          <w:lang w:val="en-US" w:eastAsia="es-MX"/>
          <w14:ligatures w14:val="none"/>
        </w:rPr>
        <w:t>ABSTRACT</w:t>
      </w:r>
    </w:p>
    <w:p w14:paraId="213F2DC3" w14:textId="77777777" w:rsidR="003D6C2A" w:rsidRPr="003D6C2A" w:rsidRDefault="003D6C2A" w:rsidP="003D6C2A">
      <w:pPr>
        <w:spacing w:before="100" w:beforeAutospacing="1" w:after="100" w:afterAutospacing="1" w:line="240" w:lineRule="auto"/>
        <w:jc w:val="both"/>
        <w:rPr>
          <w:rFonts w:ascii="Times New Roman" w:eastAsia="Times New Roman" w:hAnsi="Times New Roman" w:cs="Times New Roman"/>
          <w:color w:val="000000" w:themeColor="text1"/>
          <w:kern w:val="0"/>
          <w:lang w:val="en-US" w:eastAsia="es-MX"/>
          <w14:ligatures w14:val="none"/>
        </w:rPr>
      </w:pPr>
      <w:r w:rsidRPr="003D6C2A">
        <w:rPr>
          <w:rFonts w:ascii="Times New Roman" w:eastAsia="Times New Roman" w:hAnsi="Times New Roman" w:cs="Times New Roman"/>
          <w:color w:val="000000" w:themeColor="text1"/>
          <w:kern w:val="0"/>
          <w:lang w:val="en-US" w:eastAsia="es-MX"/>
          <w14:ligatures w14:val="none"/>
        </w:rPr>
        <w:t>Social reintegration is one of the fundamental purposes of imprisonment under the Dominican legal system. However, the current conditions of the penitentiary system raise questions about the effectiveness of the mechanisms designed to achieve this objective. This essay aims to analyze whether the social reintegration mechanisms implemented in the Dominican Republic effectively promote the successful reintegration of incarcerated individuals into society. A documentary legal methodology was employed, based on the analysis of legal doctrine, national legislation, Constitutional Court case law, international human rights instruments, and official reports on the penitentiary system. The findings show that, although the Dominican legal framework expressly recognizes rehabilitation as a purpose of criminal punishment, structural deficiencies such as prison overcrowding, limited access to rehabilitation programs, and shortcomings in the protection of fundamental rights continue to undermine this objective. The essay concludes that the main weakness of the Dominican penitentiary system lies not in the absence of an adequate legal framework, but in the ineffective implementation of the existing social reintegration mechanisms.</w:t>
      </w:r>
    </w:p>
    <w:p w14:paraId="733838CC" w14:textId="606FFC4E" w:rsidR="005F046C" w:rsidRPr="003D6C2A" w:rsidRDefault="003D6C2A" w:rsidP="003D6C2A">
      <w:pPr>
        <w:spacing w:before="100" w:beforeAutospacing="1" w:after="100" w:afterAutospacing="1" w:line="240" w:lineRule="auto"/>
        <w:jc w:val="both"/>
        <w:rPr>
          <w:rFonts w:ascii="Times New Roman" w:eastAsia="Times New Roman" w:hAnsi="Times New Roman" w:cs="Times New Roman"/>
          <w:color w:val="000000" w:themeColor="text1"/>
          <w:kern w:val="0"/>
          <w:lang w:val="en-US" w:eastAsia="es-MX"/>
          <w14:ligatures w14:val="none"/>
        </w:rPr>
      </w:pPr>
      <w:r w:rsidRPr="003D6C2A">
        <w:rPr>
          <w:rFonts w:ascii="Times New Roman" w:eastAsia="Times New Roman" w:hAnsi="Times New Roman" w:cs="Times New Roman"/>
          <w:b/>
          <w:bCs/>
          <w:color w:val="000000" w:themeColor="text1"/>
          <w:kern w:val="0"/>
          <w:lang w:val="en-US" w:eastAsia="es-MX"/>
          <w14:ligatures w14:val="none"/>
        </w:rPr>
        <w:t>Keywords:</w:t>
      </w:r>
      <w:r w:rsidRPr="003D6C2A">
        <w:rPr>
          <w:rFonts w:ascii="Times New Roman" w:eastAsia="Times New Roman" w:hAnsi="Times New Roman" w:cs="Times New Roman"/>
          <w:color w:val="000000" w:themeColor="text1"/>
          <w:kern w:val="0"/>
          <w:lang w:val="en-US" w:eastAsia="es-MX"/>
          <w14:ligatures w14:val="none"/>
        </w:rPr>
        <w:t xml:space="preserve"> Dominican penitentiary system; social reintegration; fundamental rights; rehabilitation; persons deprived of liberty.</w:t>
      </w:r>
    </w:p>
    <w:p w14:paraId="50AD5318" w14:textId="77777777" w:rsidR="003D6C2A" w:rsidRPr="003D6C2A" w:rsidRDefault="003D6C2A" w:rsidP="003D6C2A">
      <w:pPr>
        <w:spacing w:before="100" w:beforeAutospacing="1" w:after="100" w:afterAutospacing="1" w:line="240" w:lineRule="auto"/>
        <w:jc w:val="both"/>
        <w:outlineLvl w:val="1"/>
        <w:rPr>
          <w:rFonts w:ascii="Times New Roman" w:eastAsia="Times New Roman" w:hAnsi="Times New Roman" w:cs="Times New Roman"/>
          <w:b/>
          <w:bCs/>
          <w:kern w:val="0"/>
          <w:lang w:val="es-DO" w:eastAsia="es-MX"/>
          <w14:ligatures w14:val="none"/>
        </w:rPr>
      </w:pPr>
    </w:p>
    <w:p w14:paraId="29A18391" w14:textId="2078ADB9" w:rsidR="00955218" w:rsidRPr="003D6C2A" w:rsidRDefault="00955218" w:rsidP="003D6C2A">
      <w:pPr>
        <w:spacing w:before="100" w:beforeAutospacing="1" w:after="100" w:afterAutospacing="1" w:line="240" w:lineRule="auto"/>
        <w:jc w:val="both"/>
        <w:outlineLvl w:val="1"/>
        <w:rPr>
          <w:rFonts w:ascii="Times New Roman" w:eastAsia="Times New Roman" w:hAnsi="Times New Roman" w:cs="Times New Roman"/>
          <w:b/>
          <w:bCs/>
          <w:kern w:val="0"/>
          <w:lang w:val="es-DO" w:eastAsia="es-MX"/>
          <w14:ligatures w14:val="none"/>
        </w:rPr>
      </w:pPr>
      <w:r w:rsidRPr="003D6C2A">
        <w:rPr>
          <w:rFonts w:ascii="Times New Roman" w:eastAsia="Times New Roman" w:hAnsi="Times New Roman" w:cs="Times New Roman"/>
          <w:b/>
          <w:bCs/>
          <w:kern w:val="0"/>
          <w:lang w:val="es-DO" w:eastAsia="es-MX"/>
          <w14:ligatures w14:val="none"/>
        </w:rPr>
        <w:lastRenderedPageBreak/>
        <w:t>Introducción</w:t>
      </w:r>
    </w:p>
    <w:p w14:paraId="34412765" w14:textId="65EB6662" w:rsidR="00955218" w:rsidRPr="003D6C2A" w:rsidRDefault="00955218"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r w:rsidRPr="003D6C2A">
        <w:rPr>
          <w:rFonts w:ascii="Times New Roman" w:eastAsia="Times New Roman" w:hAnsi="Times New Roman" w:cs="Times New Roman"/>
          <w:kern w:val="0"/>
          <w:lang w:val="es-DO" w:eastAsia="es-MX"/>
          <w14:ligatures w14:val="none"/>
        </w:rPr>
        <w:t xml:space="preserve">La reinserción social constituye uno de los principales objetivos de la pena privativa de libertad dentro del sistema penitenciario dominicano. </w:t>
      </w:r>
      <w:r w:rsidR="003D6C2A" w:rsidRPr="003D6C2A">
        <w:rPr>
          <w:rFonts w:ascii="Times New Roman" w:hAnsi="Times New Roman" w:cs="Times New Roman"/>
          <w:color w:val="000000" w:themeColor="text1"/>
        </w:rPr>
        <w:t>Tanto la Constitución como la</w:t>
      </w:r>
      <w:r w:rsidR="003D6C2A" w:rsidRPr="003D6C2A">
        <w:rPr>
          <w:rFonts w:ascii="Times New Roman" w:hAnsi="Times New Roman" w:cs="Times New Roman"/>
          <w:b/>
          <w:bCs/>
          <w:color w:val="000000" w:themeColor="text1"/>
        </w:rPr>
        <w:t xml:space="preserve"> </w:t>
      </w:r>
      <w:r w:rsidR="003D6C2A" w:rsidRPr="003D6C2A">
        <w:rPr>
          <w:rStyle w:val="Textoennegrita"/>
          <w:rFonts w:ascii="Times New Roman" w:hAnsi="Times New Roman" w:cs="Times New Roman"/>
          <w:b w:val="0"/>
          <w:bCs w:val="0"/>
          <w:color w:val="000000" w:themeColor="text1"/>
        </w:rPr>
        <w:t>Ley núm. 113-21, que regula el Sistema Penitenciario y Correccional en la República Dominicana, promulgada el 23 de abril de 2021</w:t>
      </w:r>
      <w:r w:rsidR="003D6C2A" w:rsidRPr="003D6C2A">
        <w:rPr>
          <w:rFonts w:ascii="Times New Roman" w:hAnsi="Times New Roman" w:cs="Times New Roman"/>
          <w:b/>
          <w:bCs/>
          <w:color w:val="000000" w:themeColor="text1"/>
        </w:rPr>
        <w:t>,</w:t>
      </w:r>
      <w:r w:rsidR="003D6C2A" w:rsidRPr="003D6C2A">
        <w:rPr>
          <w:rFonts w:ascii="Times New Roman" w:hAnsi="Times New Roman" w:cs="Times New Roman"/>
          <w:color w:val="000000" w:themeColor="text1"/>
        </w:rPr>
        <w:t xml:space="preserve"> </w:t>
      </w:r>
      <w:r w:rsidRPr="003D6C2A">
        <w:rPr>
          <w:rFonts w:ascii="Times New Roman" w:eastAsia="Times New Roman" w:hAnsi="Times New Roman" w:cs="Times New Roman"/>
          <w:kern w:val="0"/>
          <w:lang w:val="es-DO" w:eastAsia="es-MX"/>
          <w14:ligatures w14:val="none"/>
        </w:rPr>
        <w:t>establecen que la ejecución de la pena no debe limitarse a la custodia de las personas privadas de libertad, sino que también debe contribuir a su rehabilitación y a su futura integración en la sociedad</w:t>
      </w:r>
      <w:r w:rsidR="00780314" w:rsidRPr="003D6C2A">
        <w:rPr>
          <w:rStyle w:val="Refdenotaalpie"/>
          <w:rFonts w:ascii="Times New Roman" w:eastAsia="Times New Roman" w:hAnsi="Times New Roman" w:cs="Times New Roman"/>
          <w:kern w:val="0"/>
          <w:lang w:val="es-DO" w:eastAsia="es-MX"/>
          <w14:ligatures w14:val="none"/>
        </w:rPr>
        <w:footnoteReference w:id="1"/>
      </w:r>
      <w:r w:rsidRPr="003D6C2A">
        <w:rPr>
          <w:rFonts w:ascii="Times New Roman" w:eastAsia="Times New Roman" w:hAnsi="Times New Roman" w:cs="Times New Roman"/>
          <w:kern w:val="0"/>
          <w:lang w:val="es-DO" w:eastAsia="es-MX"/>
          <w14:ligatures w14:val="none"/>
        </w:rPr>
        <w:t xml:space="preserve">. Sin embargo, problemas como el hacinamiento, las limitaciones de los programas de tratamiento penitenciario y las dificultades para garantizar los derechos fundamentales ponen en duda la eficacia de los mecanismos de reinserción implementados en el país. La importancia de este tema radica en que un sistema penitenciario que no logra rehabilitar a las personas condenadas </w:t>
      </w:r>
      <w:r w:rsidR="003D6C2A" w:rsidRPr="003D6C2A">
        <w:rPr>
          <w:rFonts w:ascii="Times New Roman" w:eastAsia="Times New Roman" w:hAnsi="Times New Roman" w:cs="Times New Roman"/>
          <w:kern w:val="0"/>
          <w:lang w:val="es-DO" w:eastAsia="es-MX"/>
          <w14:ligatures w14:val="none"/>
        </w:rPr>
        <w:t xml:space="preserve">puede </w:t>
      </w:r>
      <w:r w:rsidRPr="003D6C2A">
        <w:rPr>
          <w:rFonts w:ascii="Times New Roman" w:eastAsia="Times New Roman" w:hAnsi="Times New Roman" w:cs="Times New Roman"/>
          <w:kern w:val="0"/>
          <w:lang w:val="es-DO" w:eastAsia="es-MX"/>
          <w14:ligatures w14:val="none"/>
        </w:rPr>
        <w:t>afecta</w:t>
      </w:r>
      <w:r w:rsidR="003D6C2A" w:rsidRPr="003D6C2A">
        <w:rPr>
          <w:rFonts w:ascii="Times New Roman" w:eastAsia="Times New Roman" w:hAnsi="Times New Roman" w:cs="Times New Roman"/>
          <w:kern w:val="0"/>
          <w:lang w:val="es-DO" w:eastAsia="es-MX"/>
          <w14:ligatures w14:val="none"/>
        </w:rPr>
        <w:t>r</w:t>
      </w:r>
      <w:r w:rsidRPr="003D6C2A">
        <w:rPr>
          <w:rFonts w:ascii="Times New Roman" w:eastAsia="Times New Roman" w:hAnsi="Times New Roman" w:cs="Times New Roman"/>
          <w:kern w:val="0"/>
          <w:lang w:val="es-DO" w:eastAsia="es-MX"/>
          <w14:ligatures w14:val="none"/>
        </w:rPr>
        <w:t xml:space="preserve"> tanto sus derechos como la seguridad de la sociedad al aumentar el riesgo de reincidencia. </w:t>
      </w:r>
      <w:r w:rsidR="000C34B2" w:rsidRPr="003D6C2A">
        <w:rPr>
          <w:rFonts w:ascii="Times New Roman" w:eastAsia="Times New Roman" w:hAnsi="Times New Roman" w:cs="Times New Roman"/>
          <w:kern w:val="0"/>
          <w:lang w:val="es-DO" w:eastAsia="es-MX"/>
          <w14:ligatures w14:val="none"/>
        </w:rPr>
        <w:t>A partir de esto</w:t>
      </w:r>
      <w:r w:rsidRPr="003D6C2A">
        <w:rPr>
          <w:rFonts w:ascii="Times New Roman" w:eastAsia="Times New Roman" w:hAnsi="Times New Roman" w:cs="Times New Roman"/>
          <w:kern w:val="0"/>
          <w:lang w:val="es-DO" w:eastAsia="es-MX"/>
          <w14:ligatures w14:val="none"/>
        </w:rPr>
        <w:t>, surge la siguiente interrogante: ¿resultan eficaces los mecanismos de reinserción social implementados en el sistema penitenciario dominicano para lograr la integración de las personas privadas de libertad a la sociedad? Este ensayo sostiene que, aunque el país cuenta con un marco jurídico que reconoce la reinserción social como finalidad de la pena, las deficiencias estructurales del sistema dificultan que ese objetivo se materialice en la práctica. Por ello, el propósito de esta investigación es analizar cómo las condiciones actuales del sistema penitenciario influyen en el cumplimiento de esa finalidad y en la protección de los derechos fundamentales de las personas privadas de libertad</w:t>
      </w:r>
      <w:r w:rsidR="00780314" w:rsidRPr="003D6C2A">
        <w:rPr>
          <w:rStyle w:val="Refdenotaalpie"/>
          <w:rFonts w:ascii="Times New Roman" w:eastAsia="Times New Roman" w:hAnsi="Times New Roman" w:cs="Times New Roman"/>
          <w:kern w:val="0"/>
          <w:lang w:val="es-DO" w:eastAsia="es-MX"/>
          <w14:ligatures w14:val="none"/>
        </w:rPr>
        <w:footnoteReference w:id="2"/>
      </w:r>
      <w:r w:rsidRPr="003D6C2A">
        <w:rPr>
          <w:rFonts w:ascii="Times New Roman" w:eastAsia="Times New Roman" w:hAnsi="Times New Roman" w:cs="Times New Roman"/>
          <w:kern w:val="0"/>
          <w:lang w:val="es-DO" w:eastAsia="es-MX"/>
          <w14:ligatures w14:val="none"/>
        </w:rPr>
        <w:t>.</w:t>
      </w:r>
    </w:p>
    <w:p w14:paraId="24A54BB5" w14:textId="0CA1A2AD" w:rsidR="00C27985" w:rsidRPr="003D6C2A" w:rsidRDefault="00C27985" w:rsidP="003D6C2A">
      <w:pPr>
        <w:spacing w:before="100" w:beforeAutospacing="1" w:after="100" w:afterAutospacing="1" w:line="240" w:lineRule="auto"/>
        <w:jc w:val="both"/>
        <w:rPr>
          <w:rFonts w:ascii="Times New Roman" w:hAnsi="Times New Roman" w:cs="Times New Roman"/>
          <w:b/>
          <w:bCs/>
        </w:rPr>
      </w:pPr>
      <w:r w:rsidRPr="003D6C2A">
        <w:rPr>
          <w:rFonts w:ascii="Times New Roman" w:hAnsi="Times New Roman" w:cs="Times New Roman"/>
          <w:b/>
          <w:bCs/>
        </w:rPr>
        <w:t>La ineficacia de los mecanismos de reinserción social en el sistema penitenciario dominicano</w:t>
      </w:r>
    </w:p>
    <w:p w14:paraId="547B6B87" w14:textId="0AE3A539" w:rsidR="00955218" w:rsidRPr="003D6C2A" w:rsidRDefault="00955218"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r w:rsidRPr="003D6C2A">
        <w:rPr>
          <w:rFonts w:ascii="Times New Roman" w:eastAsia="Times New Roman" w:hAnsi="Times New Roman" w:cs="Times New Roman"/>
          <w:kern w:val="0"/>
          <w:lang w:val="es-DO" w:eastAsia="es-MX"/>
          <w14:ligatures w14:val="none"/>
        </w:rPr>
        <w:t xml:space="preserve">La eficacia de los mecanismos de reinserción social implementados en el sistema penitenciario dominicano depende, en gran medida, de las condiciones materiales e institucionales en que se ejecuta la pena. Aunque el ordenamiento jurídico dominicano establece que la privación de libertad debe orientarse hacia la rehabilitación y la reinserción social de la persona condenada, la realidad evidencia que ese propósito </w:t>
      </w:r>
      <w:r w:rsidR="000C34B2" w:rsidRPr="003D6C2A">
        <w:rPr>
          <w:rFonts w:ascii="Times New Roman" w:eastAsia="Times New Roman" w:hAnsi="Times New Roman" w:cs="Times New Roman"/>
          <w:kern w:val="0"/>
          <w:lang w:val="es-DO" w:eastAsia="es-MX"/>
          <w14:ligatures w14:val="none"/>
        </w:rPr>
        <w:t>se ve obstaculizado por diversos factores</w:t>
      </w:r>
      <w:r w:rsidRPr="003D6C2A">
        <w:rPr>
          <w:rFonts w:ascii="Times New Roman" w:eastAsia="Times New Roman" w:hAnsi="Times New Roman" w:cs="Times New Roman"/>
          <w:kern w:val="0"/>
          <w:lang w:val="es-DO" w:eastAsia="es-MX"/>
          <w14:ligatures w14:val="none"/>
        </w:rPr>
        <w:t xml:space="preserve">, pues las limitaciones estructurales dificultan la implementación de programas de tratamiento penitenciario eficaces. </w:t>
      </w:r>
      <w:r w:rsidR="003D6C2A" w:rsidRPr="003D6C2A">
        <w:rPr>
          <w:rFonts w:ascii="Times New Roman" w:hAnsi="Times New Roman" w:cs="Times New Roman"/>
        </w:rPr>
        <w:t xml:space="preserve">En su investigación </w:t>
      </w:r>
      <w:r w:rsidR="003D6C2A" w:rsidRPr="003D6C2A">
        <w:rPr>
          <w:rStyle w:val="nfasis"/>
          <w:rFonts w:ascii="Times New Roman" w:hAnsi="Times New Roman" w:cs="Times New Roman"/>
        </w:rPr>
        <w:t>Impacto de las estrategias de reinserción social de las personas privadas de libertad, Centro de Corrección y Rehabilitación Rafey Hombres, año 2020</w:t>
      </w:r>
      <w:r w:rsidR="003D6C2A" w:rsidRPr="003D6C2A">
        <w:rPr>
          <w:rFonts w:ascii="Times New Roman" w:hAnsi="Times New Roman" w:cs="Times New Roman"/>
        </w:rPr>
        <w:t xml:space="preserve">, Wilson Jiménez Díaz concluye que los programas educativos, laborales y de capacitación implementados dentro del Nuevo Modelo de Gestión Penitenciaria generan una incidencia positiva en la reinserción social y contribuyen a disminuir la reincidencia delictiva. Esta conclusión evidencia que la rehabilitación no depende exclusivamente de la privación de libertad, sino también de la </w:t>
      </w:r>
      <w:r w:rsidR="003D6C2A" w:rsidRPr="003D6C2A">
        <w:rPr>
          <w:rFonts w:ascii="Times New Roman" w:hAnsi="Times New Roman" w:cs="Times New Roman"/>
        </w:rPr>
        <w:lastRenderedPageBreak/>
        <w:t>existencia de programas que permitan a las personas privadas de libertad adquirir conocimientos, desarrollar habilidades y prepararse para su reincorporación a la sociedad. En consecuencia, la investigación demuestra que la reinserción social resulta más efectiva cuando el tratamiento penitenciario trasciende la custodia y se orienta al desarrollo integral de la persona.</w:t>
      </w:r>
      <w:r w:rsidR="002A06A6" w:rsidRPr="003D6C2A">
        <w:rPr>
          <w:rStyle w:val="Refdenotaalpie"/>
          <w:rFonts w:ascii="Times New Roman" w:eastAsia="Times New Roman" w:hAnsi="Times New Roman" w:cs="Times New Roman"/>
          <w:kern w:val="0"/>
          <w:lang w:val="es-DO" w:eastAsia="es-MX"/>
          <w14:ligatures w14:val="none"/>
        </w:rPr>
        <w:footnoteReference w:id="3"/>
      </w:r>
      <w:r w:rsidRPr="003D6C2A">
        <w:rPr>
          <w:rFonts w:ascii="Times New Roman" w:eastAsia="Times New Roman" w:hAnsi="Times New Roman" w:cs="Times New Roman"/>
          <w:kern w:val="0"/>
          <w:lang w:val="es-DO" w:eastAsia="es-MX"/>
          <w14:ligatures w14:val="none"/>
        </w:rPr>
        <w:t>. En la misma línea, Carlos García Valdés sostiene que ningún tratamiento penitenciario puede cumplir su finalidad si el establecimiento carece de condiciones materiales suficientes para garantizar educación, trabajo, asistencia médica y personal especializado</w:t>
      </w:r>
      <w:r w:rsidR="002A06A6" w:rsidRPr="003D6C2A">
        <w:rPr>
          <w:rStyle w:val="Refdenotaalpie"/>
          <w:rFonts w:ascii="Times New Roman" w:eastAsia="Times New Roman" w:hAnsi="Times New Roman" w:cs="Times New Roman"/>
          <w:kern w:val="0"/>
          <w:lang w:val="es-DO" w:eastAsia="es-MX"/>
          <w14:ligatures w14:val="none"/>
        </w:rPr>
        <w:footnoteReference w:id="4"/>
      </w:r>
      <w:r w:rsidRPr="003D6C2A">
        <w:rPr>
          <w:rFonts w:ascii="Times New Roman" w:eastAsia="Times New Roman" w:hAnsi="Times New Roman" w:cs="Times New Roman"/>
          <w:kern w:val="0"/>
          <w:lang w:val="es-DO" w:eastAsia="es-MX"/>
          <w14:ligatures w14:val="none"/>
        </w:rPr>
        <w:t xml:space="preserve">. Esta postura encuentra respaldo en el </w:t>
      </w:r>
      <w:r w:rsidRPr="003D6C2A">
        <w:rPr>
          <w:rFonts w:ascii="Times New Roman" w:eastAsia="Times New Roman" w:hAnsi="Times New Roman" w:cs="Times New Roman"/>
          <w:i/>
          <w:iCs/>
          <w:kern w:val="0"/>
          <w:lang w:val="es-DO" w:eastAsia="es-MX"/>
          <w14:ligatures w14:val="none"/>
        </w:rPr>
        <w:t>Informe Estadístico sobre la Población Privada de Libertad en la República Dominicana</w:t>
      </w:r>
      <w:r w:rsidRPr="003D6C2A">
        <w:rPr>
          <w:rFonts w:ascii="Times New Roman" w:eastAsia="Times New Roman" w:hAnsi="Times New Roman" w:cs="Times New Roman"/>
          <w:kern w:val="0"/>
          <w:lang w:val="es-DO" w:eastAsia="es-MX"/>
          <w14:ligatures w14:val="none"/>
        </w:rPr>
        <w:t xml:space="preserve"> elaborado por la Procuraduría General de la República, el cual evidencia la persistencia del hacinamiento y del elevado número de personas sometidas a prisión preventiva</w:t>
      </w:r>
      <w:r w:rsidR="002A06A6" w:rsidRPr="003D6C2A">
        <w:rPr>
          <w:rStyle w:val="Refdenotaalpie"/>
          <w:rFonts w:ascii="Times New Roman" w:eastAsia="Times New Roman" w:hAnsi="Times New Roman" w:cs="Times New Roman"/>
          <w:kern w:val="0"/>
          <w:lang w:val="es-DO" w:eastAsia="es-MX"/>
          <w14:ligatures w14:val="none"/>
        </w:rPr>
        <w:footnoteReference w:id="5"/>
      </w:r>
      <w:r w:rsidRPr="003D6C2A">
        <w:rPr>
          <w:rFonts w:ascii="Times New Roman" w:eastAsia="Times New Roman" w:hAnsi="Times New Roman" w:cs="Times New Roman"/>
          <w:kern w:val="0"/>
          <w:lang w:val="es-DO" w:eastAsia="es-MX"/>
          <w14:ligatures w14:val="none"/>
        </w:rPr>
        <w:t>, así como en el artículo 40 de la Constitución, la Ley núm. 113-21 y la jurisprudencia del Tribunal Constitucional, que reconocen la reinserción social como finalidad de la pena</w:t>
      </w:r>
      <w:r w:rsidR="002A06A6" w:rsidRPr="003D6C2A">
        <w:rPr>
          <w:rStyle w:val="Refdenotaalpie"/>
          <w:rFonts w:ascii="Times New Roman" w:eastAsia="Times New Roman" w:hAnsi="Times New Roman" w:cs="Times New Roman"/>
          <w:kern w:val="0"/>
          <w:lang w:val="es-DO" w:eastAsia="es-MX"/>
          <w14:ligatures w14:val="none"/>
        </w:rPr>
        <w:footnoteReference w:id="6"/>
      </w:r>
      <w:r w:rsidRPr="003D6C2A">
        <w:rPr>
          <w:rFonts w:ascii="Times New Roman" w:eastAsia="Times New Roman" w:hAnsi="Times New Roman" w:cs="Times New Roman"/>
          <w:kern w:val="0"/>
          <w:lang w:val="es-DO" w:eastAsia="es-MX"/>
          <w14:ligatures w14:val="none"/>
        </w:rPr>
        <w:t>. Por ello, puede sostenerse que la principal debilidad del sistema penitenciario dominicano no radica en la ausencia de un marco jurídico adecuado, sino en la dificultad para materializar, en la práctica, los mecanismos de reinserción previstos por ese mismo ordenamiento.</w:t>
      </w:r>
    </w:p>
    <w:p w14:paraId="1DD8FA07" w14:textId="4B1149F2" w:rsidR="00955218" w:rsidRPr="003D6C2A" w:rsidRDefault="00955218"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r w:rsidRPr="003D6C2A">
        <w:rPr>
          <w:rFonts w:ascii="Times New Roman" w:eastAsia="Times New Roman" w:hAnsi="Times New Roman" w:cs="Times New Roman"/>
          <w:kern w:val="0"/>
          <w:lang w:val="es-DO" w:eastAsia="es-MX"/>
          <w14:ligatures w14:val="none"/>
        </w:rPr>
        <w:t>Ahora bien, la eficacia de dichos mecanismos también depende de que durante el cumplimiento de la pena se respeten los derechos fundamentales de las personas privadas de libertad. La restricción de la libertad ambulatoria no implica la pérdida de los demás derechos reconocidos por la Constitución y los instrumentos internacionales, razón por la cual el Estado conserva la obligación de garantizar condiciones compatibles con la dignidad humana. En este sentido, Luigi Ferrajoli sostiene que el poder punitivo encuentra límites infranqueables en los derechos fundamentales, incluso durante la ejecución de la pena</w:t>
      </w:r>
      <w:r w:rsidR="002A06A6" w:rsidRPr="003D6C2A">
        <w:rPr>
          <w:rStyle w:val="Refdenotaalpie"/>
          <w:rFonts w:ascii="Times New Roman" w:eastAsia="Times New Roman" w:hAnsi="Times New Roman" w:cs="Times New Roman"/>
          <w:kern w:val="0"/>
          <w:lang w:val="es-DO" w:eastAsia="es-MX"/>
          <w14:ligatures w14:val="none"/>
        </w:rPr>
        <w:footnoteReference w:id="7"/>
      </w:r>
      <w:r w:rsidRPr="003D6C2A">
        <w:rPr>
          <w:rFonts w:ascii="Times New Roman" w:eastAsia="Times New Roman" w:hAnsi="Times New Roman" w:cs="Times New Roman"/>
          <w:kern w:val="0"/>
          <w:lang w:val="es-DO" w:eastAsia="es-MX"/>
          <w14:ligatures w14:val="none"/>
        </w:rPr>
        <w:t>. De manera complementaria, Marcos Gabriel Salt explica que el acceso a la salud, la educación, el trabajo y la tutela judicial efectiva constituye parte del contenido mínimo de derechos que conserva toda persona privada de libertad, siendo indispensables para cualquier proceso de rehabilitación</w:t>
      </w:r>
      <w:r w:rsidR="002A06A6" w:rsidRPr="003D6C2A">
        <w:rPr>
          <w:rStyle w:val="Refdenotaalpie"/>
          <w:rFonts w:ascii="Times New Roman" w:eastAsia="Times New Roman" w:hAnsi="Times New Roman" w:cs="Times New Roman"/>
          <w:kern w:val="0"/>
          <w:lang w:val="es-DO" w:eastAsia="es-MX"/>
          <w14:ligatures w14:val="none"/>
        </w:rPr>
        <w:footnoteReference w:id="8"/>
      </w:r>
      <w:r w:rsidRPr="003D6C2A">
        <w:rPr>
          <w:rFonts w:ascii="Times New Roman" w:eastAsia="Times New Roman" w:hAnsi="Times New Roman" w:cs="Times New Roman"/>
          <w:kern w:val="0"/>
          <w:lang w:val="es-DO" w:eastAsia="es-MX"/>
          <w14:ligatures w14:val="none"/>
        </w:rPr>
        <w:t xml:space="preserve">. Estas afirmaciones encuentran respaldo en la Constitución dominicana, la Convención Americana sobre Derechos Humanos y las sentencias TC/0555/17 y TC/0501/20 del Tribunal Constitucional, las cuales reconocen que el Estado mantiene una posición </w:t>
      </w:r>
      <w:r w:rsidRPr="003D6C2A">
        <w:rPr>
          <w:rFonts w:ascii="Times New Roman" w:eastAsia="Times New Roman" w:hAnsi="Times New Roman" w:cs="Times New Roman"/>
          <w:kern w:val="0"/>
          <w:lang w:val="es-DO" w:eastAsia="es-MX"/>
          <w14:ligatures w14:val="none"/>
        </w:rPr>
        <w:lastRenderedPageBreak/>
        <w:t>especial de garante respecto de las personas privadas de libertad</w:t>
      </w:r>
      <w:r w:rsidR="002A06A6" w:rsidRPr="003D6C2A">
        <w:rPr>
          <w:rStyle w:val="Refdenotaalpie"/>
          <w:rFonts w:ascii="Times New Roman" w:eastAsia="Times New Roman" w:hAnsi="Times New Roman" w:cs="Times New Roman"/>
          <w:kern w:val="0"/>
          <w:lang w:val="es-DO" w:eastAsia="es-MX"/>
          <w14:ligatures w14:val="none"/>
        </w:rPr>
        <w:footnoteReference w:id="9"/>
      </w:r>
      <w:r w:rsidRPr="003D6C2A">
        <w:rPr>
          <w:rFonts w:ascii="Times New Roman" w:eastAsia="Times New Roman" w:hAnsi="Times New Roman" w:cs="Times New Roman"/>
          <w:kern w:val="0"/>
          <w:lang w:val="es-DO" w:eastAsia="es-MX"/>
          <w14:ligatures w14:val="none"/>
        </w:rPr>
        <w:t xml:space="preserve">. </w:t>
      </w:r>
      <w:r w:rsidR="009B42BE" w:rsidRPr="003D6C2A">
        <w:rPr>
          <w:rFonts w:ascii="Times New Roman" w:eastAsia="Times New Roman" w:hAnsi="Times New Roman" w:cs="Times New Roman"/>
          <w:kern w:val="0"/>
          <w:lang w:val="es-DO" w:eastAsia="es-MX"/>
          <w14:ligatures w14:val="none"/>
        </w:rPr>
        <w:t>Como resultado</w:t>
      </w:r>
      <w:r w:rsidRPr="003D6C2A">
        <w:rPr>
          <w:rFonts w:ascii="Times New Roman" w:eastAsia="Times New Roman" w:hAnsi="Times New Roman" w:cs="Times New Roman"/>
          <w:kern w:val="0"/>
          <w:lang w:val="es-DO" w:eastAsia="es-MX"/>
          <w14:ligatures w14:val="none"/>
        </w:rPr>
        <w:t>, la reinserción social no puede entenderse como una política pública posterior al cumplimiento de la condena, sino como un proceso que comienza desde el ingreso de la persona al sistema penitenciario y exige el respeto permanente de sus derechos fundamentales.</w:t>
      </w:r>
    </w:p>
    <w:p w14:paraId="27FCAC2C" w14:textId="767C5EBF" w:rsidR="00955218" w:rsidRPr="003D6C2A" w:rsidRDefault="00D631A5"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r w:rsidRPr="003D6C2A">
        <w:rPr>
          <w:rFonts w:ascii="Times New Roman" w:eastAsia="Times New Roman" w:hAnsi="Times New Roman" w:cs="Times New Roman"/>
          <w:kern w:val="0"/>
          <w:lang w:val="es-DO" w:eastAsia="es-MX"/>
          <w14:ligatures w14:val="none"/>
        </w:rPr>
        <w:t>Desde esa lógica</w:t>
      </w:r>
      <w:r w:rsidR="00955218" w:rsidRPr="003D6C2A">
        <w:rPr>
          <w:rFonts w:ascii="Times New Roman" w:eastAsia="Times New Roman" w:hAnsi="Times New Roman" w:cs="Times New Roman"/>
          <w:kern w:val="0"/>
          <w:lang w:val="es-DO" w:eastAsia="es-MX"/>
          <w14:ligatures w14:val="none"/>
        </w:rPr>
        <w:t xml:space="preserve">, resulta necesario valorar si las reformas impulsadas por el Estado dominicano han sido suficientes para superar las deficiencias históricas del sistema penitenciario. La creación del Nuevo Modelo de Gestión Penitenciaria y la entrada en vigor de la Ley núm. 113-21 representan avances importantes; sin embargo, la coexistencia de centros pertenecientes al modelo reformado con establecimientos tradicionales evidencia que dichos cambios aún no alcanzan a toda la población penitenciaria. </w:t>
      </w:r>
      <w:r w:rsidR="00C27985" w:rsidRPr="003D6C2A">
        <w:rPr>
          <w:rFonts w:ascii="Times New Roman" w:hAnsi="Times New Roman" w:cs="Times New Roman"/>
        </w:rPr>
        <w:t>Lo anterior permite entender por qué, pese a los avances normativos y a la existencia de programas que han mostrado resultados positivos, el sistema penitenciario dominicano todavía no puede considerarse plenamente eficaz en materia de reinserción social. La implementación del Nuevo Modelo de Gestión Penitenciaria no ha alcanzado de manera uniforme a todos los centros del país, por lo que una parte importante de la población penitenciaria continúa cumpliendo su condena en establecimientos con problemas de hacinamiento, limitaciones de infraestructura y escaso acceso a programas educativos, laborales o de acompañamiento psicosocial. Como resultado, aunque existen experiencias exitosas que demuestran que la rehabilitación es posible, sus beneficios aún no se reflejan de forma generalizada en todo el sistema penitenciario dominicano.</w:t>
      </w:r>
      <w:r w:rsidR="00C27985" w:rsidRPr="003D6C2A">
        <w:rPr>
          <w:rFonts w:ascii="Times New Roman" w:eastAsia="Times New Roman" w:hAnsi="Times New Roman" w:cs="Times New Roman"/>
          <w:kern w:val="0"/>
          <w:lang w:val="es-DO" w:eastAsia="es-MX"/>
          <w14:ligatures w14:val="none"/>
        </w:rPr>
        <w:t xml:space="preserve"> </w:t>
      </w:r>
      <w:r w:rsidR="00955218" w:rsidRPr="003D6C2A">
        <w:rPr>
          <w:rFonts w:ascii="Times New Roman" w:eastAsia="Times New Roman" w:hAnsi="Times New Roman" w:cs="Times New Roman"/>
          <w:kern w:val="0"/>
          <w:lang w:val="es-DO" w:eastAsia="es-MX"/>
          <w14:ligatures w14:val="none"/>
        </w:rPr>
        <w:t>En este sentido, Wilson Jiménez Díaz demuestra que los programas de educación, formación técnica y acompañamiento psicosocial producen resultados favorables cuando son implementados de manera adecuada</w:t>
      </w:r>
      <w:r w:rsidR="00A90FCF" w:rsidRPr="003D6C2A">
        <w:rPr>
          <w:rStyle w:val="Refdenotaalpie"/>
          <w:rFonts w:ascii="Times New Roman" w:eastAsia="Times New Roman" w:hAnsi="Times New Roman" w:cs="Times New Roman"/>
          <w:kern w:val="0"/>
          <w:lang w:val="es-DO" w:eastAsia="es-MX"/>
          <w14:ligatures w14:val="none"/>
        </w:rPr>
        <w:footnoteReference w:id="10"/>
      </w:r>
      <w:r w:rsidR="00955218" w:rsidRPr="003D6C2A">
        <w:rPr>
          <w:rFonts w:ascii="Times New Roman" w:eastAsia="Times New Roman" w:hAnsi="Times New Roman" w:cs="Times New Roman"/>
          <w:kern w:val="0"/>
          <w:lang w:val="es-DO" w:eastAsia="es-MX"/>
          <w14:ligatures w14:val="none"/>
        </w:rPr>
        <w:t>, mientras que Francisco Muñoz Conde advierte que la rehabilitación constituye una de las finalidades más complejas de la pena, pues requiere inversiones permanentes y un compromiso institucional sostenido</w:t>
      </w:r>
      <w:r w:rsidR="00A90FCF" w:rsidRPr="003D6C2A">
        <w:rPr>
          <w:rStyle w:val="Refdenotaalpie"/>
          <w:rFonts w:ascii="Times New Roman" w:eastAsia="Times New Roman" w:hAnsi="Times New Roman" w:cs="Times New Roman"/>
          <w:kern w:val="0"/>
          <w:lang w:val="es-DO" w:eastAsia="es-MX"/>
          <w14:ligatures w14:val="none"/>
        </w:rPr>
        <w:footnoteReference w:id="11"/>
      </w:r>
      <w:r w:rsidR="00955218" w:rsidRPr="003D6C2A">
        <w:rPr>
          <w:rFonts w:ascii="Times New Roman" w:eastAsia="Times New Roman" w:hAnsi="Times New Roman" w:cs="Times New Roman"/>
          <w:kern w:val="0"/>
          <w:lang w:val="es-DO" w:eastAsia="es-MX"/>
          <w14:ligatures w14:val="none"/>
        </w:rPr>
        <w:t>. Esta apreciación encuentra respaldo en los datos oficiales de la Procuraduría General de la República y en la jurisprudencia reciente del Tribunal Constitucional, que insiste en la obligación estatal de garantizar una ejecución de la pena compatible con la dignidad humana</w:t>
      </w:r>
      <w:r w:rsidR="00A90FCF" w:rsidRPr="003D6C2A">
        <w:rPr>
          <w:rStyle w:val="Refdenotaalpie"/>
          <w:rFonts w:ascii="Times New Roman" w:eastAsia="Times New Roman" w:hAnsi="Times New Roman" w:cs="Times New Roman"/>
          <w:kern w:val="0"/>
          <w:lang w:val="es-DO" w:eastAsia="es-MX"/>
          <w14:ligatures w14:val="none"/>
        </w:rPr>
        <w:footnoteReference w:id="12"/>
      </w:r>
      <w:r w:rsidR="00955218" w:rsidRPr="003D6C2A">
        <w:rPr>
          <w:rFonts w:ascii="Times New Roman" w:eastAsia="Times New Roman" w:hAnsi="Times New Roman" w:cs="Times New Roman"/>
          <w:kern w:val="0"/>
          <w:lang w:val="es-DO" w:eastAsia="es-MX"/>
          <w14:ligatures w14:val="none"/>
        </w:rPr>
        <w:t>. Por tanto, las reformas emprendidas por el Estado constituyen un avance significativo, pero todavía resultan insuficientes para garantizar una reinserción social efectiva en todo el sistema penitenciario dominicano.</w:t>
      </w:r>
    </w:p>
    <w:p w14:paraId="2365CE5B" w14:textId="77777777" w:rsidR="00955218" w:rsidRPr="003D6C2A" w:rsidRDefault="00955218" w:rsidP="003D6C2A">
      <w:pPr>
        <w:spacing w:before="100" w:beforeAutospacing="1" w:after="100" w:afterAutospacing="1" w:line="240" w:lineRule="auto"/>
        <w:jc w:val="both"/>
        <w:outlineLvl w:val="1"/>
        <w:rPr>
          <w:rFonts w:ascii="Times New Roman" w:eastAsia="Times New Roman" w:hAnsi="Times New Roman" w:cs="Times New Roman"/>
          <w:b/>
          <w:bCs/>
          <w:kern w:val="0"/>
          <w:lang w:val="es-DO" w:eastAsia="es-MX"/>
          <w14:ligatures w14:val="none"/>
        </w:rPr>
      </w:pPr>
      <w:r w:rsidRPr="003D6C2A">
        <w:rPr>
          <w:rFonts w:ascii="Times New Roman" w:eastAsia="Times New Roman" w:hAnsi="Times New Roman" w:cs="Times New Roman"/>
          <w:b/>
          <w:bCs/>
          <w:kern w:val="0"/>
          <w:lang w:val="es-DO" w:eastAsia="es-MX"/>
          <w14:ligatures w14:val="none"/>
        </w:rPr>
        <w:t>Opinión personal fundamentada</w:t>
      </w:r>
    </w:p>
    <w:p w14:paraId="33738D8E" w14:textId="77777777" w:rsidR="00C27985" w:rsidRPr="003D6C2A" w:rsidRDefault="00C27985" w:rsidP="003D6C2A">
      <w:pPr>
        <w:pStyle w:val="pdq2pgselectionanchorcontainer"/>
        <w:jc w:val="both"/>
      </w:pPr>
      <w:r w:rsidRPr="003D6C2A">
        <w:lastRenderedPageBreak/>
        <w:t>Después de analizar este tema, una de las cuestiones que más llama la atención es que el debate sobre el sistema penitenciario suele centrarse en el castigo que recibe la persona condenada, mientras que se habla mucho menos de lo que ocurre después de la sentencia. En muchas ocasiones parece asumirse que el cumplimiento de la pena concluye cuando la persona recupera su libertad, sin tomar en cuenta que la forma en que transcurrió ese proceso influye directamente en sus posibilidades de reincorporarse a la sociedad. Precisamente por eso, la reinserción social no debería verse como un objetivo secundario del sistema penitenciario, sino como una parte esencial de la justicia penal, ya que de su éxito depende, en buena medida, que la pena cumpla la finalidad que le atribuyen la Constitución y la Ley núm. 113-21.</w:t>
      </w:r>
    </w:p>
    <w:p w14:paraId="41B931DF" w14:textId="52490EF1" w:rsidR="003D6C2A" w:rsidRPr="003D6C2A" w:rsidRDefault="003D6C2A" w:rsidP="003D6C2A">
      <w:pPr>
        <w:pStyle w:val="pdq2pgselectionanchorcontainer"/>
        <w:jc w:val="both"/>
      </w:pPr>
      <w:r w:rsidRPr="003D6C2A">
        <w:t>No obstante, también es posible sostener una postura distinta. Desde esa perspectiva, podría afirmarse que las reformas introducidas por la Ley núm. 113-21 y la implementación progresiva del Nuevo Modelo de Gestión Penitenciaria demuestran un esfuerzo significativo del Estado por fortalecer la reinserción social. Además, los resultados obtenidos en centros pertenecientes a dicho modelo evidencian que los programas de educación, capacitación laboral y acompañamiento psicosocial pueden generar efectos positivos en la rehabilitación y reducir la reincidencia cuando son implementados de manera adecuada.</w:t>
      </w:r>
    </w:p>
    <w:p w14:paraId="730A57E0" w14:textId="78B852AF" w:rsidR="00C27985" w:rsidRPr="003D6C2A" w:rsidRDefault="003D6C2A" w:rsidP="003D6C2A">
      <w:pPr>
        <w:pStyle w:val="NormalWeb"/>
        <w:jc w:val="both"/>
      </w:pPr>
      <w:r w:rsidRPr="003D6C2A">
        <w:t>Sin embargo, esa interpretación resulta insuficiente para concluir que el sistema penitenciario dominicano sea plenamente eficaz. Aunque existen experiencias exitosas dentro del Nuevo Modelo de Gestión Penitenciaria, estas todavía no representan la realidad de todo el sistema, pues una parte importante de la población privada de libertad continúa recluida en establecimientos que presentan hacinamiento, limitaciones de infraestructura y un acceso reducido a programas de tratamiento penitenciario. Por ello, la eficacia del sistema no puede valorarse únicamente a partir de los avances alcanzados en algunos centros, sino considerando las condiciones en que cumple su condena el conjunto de la población penitenciaria.</w:t>
      </w:r>
      <w:r w:rsidRPr="003D6C2A">
        <w:t xml:space="preserve"> </w:t>
      </w:r>
      <w:r w:rsidR="00C27985" w:rsidRPr="003D6C2A">
        <w:t xml:space="preserve">Asimismo, el estudio de este tema también invita a replantear la forma en que suele entenderse la protección de los derechos fundamentales de las personas privadas de libertad. Con frecuencia se piensa que garantizar condiciones dignas dentro de los centros penitenciarios beneficia únicamente a quienes cumplen una condena. Sin embargo, esa visión deja de lado que el respeto de esos derechos constituye una obligación constitucional del Estado y, al mismo tiempo, una herramienta que favorece la disminución de la reincidencia y fortalece la seguridad ciudadana. </w:t>
      </w:r>
      <w:r w:rsidR="0072471D" w:rsidRPr="003D6C2A">
        <w:t>A partir de esta idea</w:t>
      </w:r>
      <w:r w:rsidR="00C27985" w:rsidRPr="003D6C2A">
        <w:t>, la rehabilitación no representa un beneficio inmerecido, sino una forma de hacer compatible el ejercicio del poder punitivo con los principios propios de un Estado social y democrático de derecho.</w:t>
      </w:r>
    </w:p>
    <w:p w14:paraId="28AD2390" w14:textId="77777777" w:rsidR="00955218" w:rsidRPr="003D6C2A" w:rsidRDefault="00955218" w:rsidP="003D6C2A">
      <w:pPr>
        <w:spacing w:before="100" w:beforeAutospacing="1" w:after="100" w:afterAutospacing="1" w:line="240" w:lineRule="auto"/>
        <w:jc w:val="both"/>
        <w:outlineLvl w:val="1"/>
        <w:rPr>
          <w:rFonts w:ascii="Times New Roman" w:eastAsia="Times New Roman" w:hAnsi="Times New Roman" w:cs="Times New Roman"/>
          <w:b/>
          <w:bCs/>
          <w:kern w:val="0"/>
          <w:lang w:val="es-DO" w:eastAsia="es-MX"/>
          <w14:ligatures w14:val="none"/>
        </w:rPr>
      </w:pPr>
      <w:r w:rsidRPr="003D6C2A">
        <w:rPr>
          <w:rFonts w:ascii="Times New Roman" w:eastAsia="Times New Roman" w:hAnsi="Times New Roman" w:cs="Times New Roman"/>
          <w:b/>
          <w:bCs/>
          <w:kern w:val="0"/>
          <w:lang w:val="es-DO" w:eastAsia="es-MX"/>
          <w14:ligatures w14:val="none"/>
        </w:rPr>
        <w:t>Conclusiones</w:t>
      </w:r>
    </w:p>
    <w:p w14:paraId="153A05FC" w14:textId="77777777" w:rsidR="00955218" w:rsidRPr="003D6C2A" w:rsidRDefault="00955218"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r w:rsidRPr="003D6C2A">
        <w:rPr>
          <w:rFonts w:ascii="Times New Roman" w:eastAsia="Times New Roman" w:hAnsi="Times New Roman" w:cs="Times New Roman"/>
          <w:kern w:val="0"/>
          <w:lang w:val="es-DO" w:eastAsia="es-MX"/>
          <w14:ligatures w14:val="none"/>
        </w:rPr>
        <w:t xml:space="preserve">A partir del análisis realizado, puede responderse que los mecanismos de reinserción social implementados en el sistema penitenciario dominicano no resultan plenamente eficaces para lograr la integración de las personas privadas de libertad a la sociedad. Aunque el país dispone de un marco constitucional y legal que reconoce expresamente la rehabilitación como finalidad esencial de la pena, las deficiencias estructurales que aún caracterizan gran parte del sistema penitenciario limitan considerablemente el cumplimiento de ese objetivo. El hacinamiento, las restricciones presupuestarias, la insuficiente cobertura de los programas de educación y capacitación, así como las dificultades para garantizar plenamente los </w:t>
      </w:r>
      <w:r w:rsidRPr="003D6C2A">
        <w:rPr>
          <w:rFonts w:ascii="Times New Roman" w:eastAsia="Times New Roman" w:hAnsi="Times New Roman" w:cs="Times New Roman"/>
          <w:kern w:val="0"/>
          <w:lang w:val="es-DO" w:eastAsia="es-MX"/>
          <w14:ligatures w14:val="none"/>
        </w:rPr>
        <w:lastRenderedPageBreak/>
        <w:t>derechos fundamentales, reducen la capacidad del Estado para desarrollar procesos efectivos de reinserción. En consecuencia, la investigación confirma que la ineficacia del sistema penitenciario no constituye únicamente un problema de gestión administrativa, sino también un problema de relevancia constitucional, pues compromete la realización de los fines que la Constitución asigna a la ejecución de la pena.</w:t>
      </w:r>
    </w:p>
    <w:p w14:paraId="13B9DCD5" w14:textId="77C32260" w:rsidR="00C27985" w:rsidRDefault="00955218"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r w:rsidRPr="003D6C2A">
        <w:rPr>
          <w:rFonts w:ascii="Times New Roman" w:eastAsia="Times New Roman" w:hAnsi="Times New Roman" w:cs="Times New Roman"/>
          <w:kern w:val="0"/>
          <w:lang w:val="es-DO" w:eastAsia="es-MX"/>
          <w14:ligatures w14:val="none"/>
        </w:rPr>
        <w:t>Finalmente, este ensayo permite concluir que la eficacia del sistema penitenciario debe evaluarse desde una perspectiva integral, en la que la seguridad ciudadana y el respeto de los derechos fundamentales no sean concebidos como objetivos contrapuestos, sino como elementos complementarios de una misma política criminal. Los objetivos específicos permitieron identificar las principales deficiencias estructurales del sistema, analizar su impacto sobre las condiciones de reclusión y valorar críticamente las medidas implementadas por el Estado para fortalecer la reinserción social. A partir de estos hallazgos, puede afirmarse que el fortalecimiento del sistema penitenciario dominicano requiere no solo nuevas reformas legislativas, sino también una aplicación efectiva de las ya existentes, acompañada de inversiones sostenidas, supervisión institucional y una auténtica voluntad política para garantizar que la privación de libertad cumpla la finalidad resocializadora prevista por el ordenamiento jurídico. Solo de esa manera la reinserción social dejará de constituir una aspiración normativa para convertirse en una realidad tangible dentro del sistema de justicia penal.</w:t>
      </w:r>
    </w:p>
    <w:p w14:paraId="79D98776"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7CDC61CA"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02D559A0"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09E15C34"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4500D418"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56DBE180"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1EE3DE50"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3D41E433"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54B2C471"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1A612A3E"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7D2F9B7F"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4C9CAC44"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02C7C203" w14:textId="77777777" w:rsidR="003D6C2A" w:rsidRDefault="003D6C2A" w:rsidP="003D6C2A">
      <w:pPr>
        <w:spacing w:before="100" w:beforeAutospacing="1" w:after="100" w:afterAutospacing="1" w:line="240" w:lineRule="auto"/>
        <w:jc w:val="both"/>
        <w:rPr>
          <w:rFonts w:ascii="Times New Roman" w:eastAsia="Times New Roman" w:hAnsi="Times New Roman" w:cs="Times New Roman"/>
          <w:kern w:val="0"/>
          <w:lang w:val="es-DO" w:eastAsia="es-MX"/>
          <w14:ligatures w14:val="none"/>
        </w:rPr>
      </w:pPr>
    </w:p>
    <w:p w14:paraId="36B02DB1" w14:textId="39EF8E3E" w:rsidR="001D4D37" w:rsidRPr="001D4D37" w:rsidRDefault="001D4D37" w:rsidP="003D6C2A">
      <w:pPr>
        <w:spacing w:before="100" w:beforeAutospacing="1" w:after="100" w:afterAutospacing="1" w:line="240" w:lineRule="auto"/>
        <w:jc w:val="both"/>
        <w:rPr>
          <w:rFonts w:ascii="Times New Roman" w:eastAsia="Times New Roman" w:hAnsi="Times New Roman" w:cs="Times New Roman"/>
          <w:b/>
          <w:bCs/>
          <w:kern w:val="0"/>
          <w:lang w:val="es-DO" w:eastAsia="es-MX"/>
          <w14:ligatures w14:val="none"/>
        </w:rPr>
      </w:pPr>
      <w:r w:rsidRPr="001D4D37">
        <w:rPr>
          <w:rFonts w:ascii="Times New Roman" w:eastAsia="Times New Roman" w:hAnsi="Times New Roman" w:cs="Times New Roman"/>
          <w:b/>
          <w:bCs/>
          <w:kern w:val="0"/>
          <w:lang w:val="es-DO" w:eastAsia="es-MX"/>
          <w14:ligatures w14:val="none"/>
        </w:rPr>
        <w:lastRenderedPageBreak/>
        <w:t>Declaración de autoría y uso de inteligencia artificial:</w:t>
      </w:r>
    </w:p>
    <w:p w14:paraId="70702F5E" w14:textId="5155B41F" w:rsidR="0094306E" w:rsidRDefault="001D4D37" w:rsidP="003D6C2A">
      <w:pPr>
        <w:jc w:val="both"/>
        <w:rPr>
          <w:rFonts w:ascii="Times New Roman" w:hAnsi="Times New Roman" w:cs="Times New Roman"/>
        </w:rPr>
      </w:pPr>
      <w:r w:rsidRPr="001D4D37">
        <w:rPr>
          <w:rFonts w:ascii="Times New Roman" w:hAnsi="Times New Roman" w:cs="Times New Roman"/>
        </w:rPr>
        <w:t xml:space="preserve">La idea original de </w:t>
      </w:r>
      <w:r w:rsidR="005F046C" w:rsidRPr="001D4D37">
        <w:rPr>
          <w:rFonts w:ascii="Times New Roman" w:hAnsi="Times New Roman" w:cs="Times New Roman"/>
        </w:rPr>
        <w:t>este ensayo</w:t>
      </w:r>
      <w:r w:rsidRPr="001D4D37">
        <w:rPr>
          <w:rFonts w:ascii="Times New Roman" w:hAnsi="Times New Roman" w:cs="Times New Roman"/>
        </w:rPr>
        <w:t xml:space="preserve"> fue elaborad</w:t>
      </w:r>
      <w:r w:rsidR="00A03003">
        <w:rPr>
          <w:rFonts w:ascii="Times New Roman" w:hAnsi="Times New Roman" w:cs="Times New Roman"/>
        </w:rPr>
        <w:t>a</w:t>
      </w:r>
      <w:r w:rsidRPr="001D4D37">
        <w:rPr>
          <w:rFonts w:ascii="Times New Roman" w:hAnsi="Times New Roman" w:cs="Times New Roman"/>
        </w:rPr>
        <w:t xml:space="preserve"> por la estudiante Alexia Amparo Matos Arias. Posteriormente, fue revisada, ampliada y reformulada con el apoyo de las herramientas de inteligencia artificial </w:t>
      </w:r>
      <w:r w:rsidR="009B42BE">
        <w:rPr>
          <w:rFonts w:ascii="Times New Roman" w:hAnsi="Times New Roman" w:cs="Times New Roman"/>
        </w:rPr>
        <w:t>Notebook</w:t>
      </w:r>
      <w:r w:rsidRPr="001D4D37">
        <w:rPr>
          <w:rFonts w:ascii="Times New Roman" w:hAnsi="Times New Roman" w:cs="Times New Roman"/>
        </w:rPr>
        <w:t xml:space="preserve"> (</w:t>
      </w:r>
      <w:r w:rsidR="009B42BE">
        <w:rPr>
          <w:rFonts w:ascii="Times New Roman" w:hAnsi="Times New Roman" w:cs="Times New Roman"/>
        </w:rPr>
        <w:t>Google</w:t>
      </w:r>
      <w:r w:rsidRPr="001D4D37">
        <w:rPr>
          <w:rFonts w:ascii="Times New Roman" w:hAnsi="Times New Roman" w:cs="Times New Roman"/>
        </w:rPr>
        <w:t xml:space="preserve">) y </w:t>
      </w:r>
      <w:proofErr w:type="spellStart"/>
      <w:r w:rsidRPr="001D4D37">
        <w:rPr>
          <w:rFonts w:ascii="Times New Roman" w:hAnsi="Times New Roman" w:cs="Times New Roman"/>
        </w:rPr>
        <w:t>ChatGPT</w:t>
      </w:r>
      <w:proofErr w:type="spellEnd"/>
      <w:r w:rsidRPr="001D4D37">
        <w:rPr>
          <w:rFonts w:ascii="Times New Roman" w:hAnsi="Times New Roman" w:cs="Times New Roman"/>
        </w:rPr>
        <w:t xml:space="preserve"> (</w:t>
      </w:r>
      <w:proofErr w:type="spellStart"/>
      <w:r w:rsidRPr="001D4D37">
        <w:rPr>
          <w:rFonts w:ascii="Times New Roman" w:hAnsi="Times New Roman" w:cs="Times New Roman"/>
        </w:rPr>
        <w:t>OpenAI</w:t>
      </w:r>
      <w:proofErr w:type="spellEnd"/>
      <w:r w:rsidRPr="001D4D37">
        <w:rPr>
          <w:rFonts w:ascii="Times New Roman" w:hAnsi="Times New Roman" w:cs="Times New Roman"/>
        </w:rPr>
        <w:t>), las cuales se utilizaron como apoyo para la consolidación de fuentes, la mejora de la redacción y la estructuración del documento final. Para este proceso de revisión se consultaron las siguientes fuentes bibliográficas:</w:t>
      </w:r>
    </w:p>
    <w:p w14:paraId="16C43A86" w14:textId="77777777" w:rsidR="005F046C" w:rsidRDefault="005F046C" w:rsidP="003D6C2A">
      <w:pPr>
        <w:pStyle w:val="pdq2pgselectionanchorcontainer"/>
        <w:jc w:val="both"/>
      </w:pPr>
      <w:r>
        <w:t xml:space="preserve">Ferrajoli, Luigi. </w:t>
      </w:r>
      <w:r>
        <w:rPr>
          <w:rStyle w:val="nfasis"/>
          <w:rFonts w:eastAsiaTheme="majorEastAsia"/>
        </w:rPr>
        <w:t>Derecho y razón: teoría del garantismo penal</w:t>
      </w:r>
      <w:r>
        <w:t>. Madrid: Trotta, 1995.</w:t>
      </w:r>
    </w:p>
    <w:p w14:paraId="0105D4EA" w14:textId="77777777" w:rsidR="005F046C" w:rsidRDefault="005F046C" w:rsidP="003D6C2A">
      <w:pPr>
        <w:pStyle w:val="NormalWeb"/>
        <w:jc w:val="both"/>
      </w:pPr>
      <w:r>
        <w:t xml:space="preserve">García Valdés, Carlos. </w:t>
      </w:r>
      <w:r>
        <w:rPr>
          <w:rStyle w:val="nfasis"/>
          <w:rFonts w:eastAsiaTheme="majorEastAsia"/>
        </w:rPr>
        <w:t>Comentarios a la legislación penitenciaria</w:t>
      </w:r>
      <w:r>
        <w:t>. Madrid: Civitas, 1982.</w:t>
      </w:r>
    </w:p>
    <w:p w14:paraId="57C5CB41" w14:textId="77777777" w:rsidR="005F046C" w:rsidRDefault="005F046C" w:rsidP="003D6C2A">
      <w:pPr>
        <w:pStyle w:val="NormalWeb"/>
        <w:jc w:val="both"/>
      </w:pPr>
      <w:r>
        <w:t xml:space="preserve">Jiménez Díaz, Wilson. </w:t>
      </w:r>
      <w:r>
        <w:rPr>
          <w:rStyle w:val="nfasis"/>
          <w:rFonts w:eastAsiaTheme="majorEastAsia"/>
        </w:rPr>
        <w:t>Impacto de las estrategias de reinserción social de las personas privadas de libertad, Centro de Corrección y Rehabilitación Rafey Hombres, año 2020</w:t>
      </w:r>
      <w:r>
        <w:t xml:space="preserve">. Master's thesis, Universidad Abierta para Adultos, 2021. </w:t>
      </w:r>
      <w:hyperlink r:id="rId8" w:tgtFrame="_new" w:history="1">
        <w:r>
          <w:rPr>
            <w:rStyle w:val="Hipervnculo"/>
            <w:rFonts w:eastAsiaTheme="majorEastAsia"/>
          </w:rPr>
          <w:t>https://rai.uapa.edu.do/handle/123456789/2086</w:t>
        </w:r>
      </w:hyperlink>
      <w:r>
        <w:t>.</w:t>
      </w:r>
    </w:p>
    <w:p w14:paraId="5A1369EF" w14:textId="77777777" w:rsidR="005F046C" w:rsidRPr="005F046C" w:rsidRDefault="005F046C" w:rsidP="003D6C2A">
      <w:pPr>
        <w:pStyle w:val="NormalWeb"/>
        <w:jc w:val="both"/>
        <w:rPr>
          <w:lang w:val="en-US"/>
        </w:rPr>
      </w:pPr>
      <w:r>
        <w:t xml:space="preserve">Muñoz Conde, Francisco. </w:t>
      </w:r>
      <w:r>
        <w:rPr>
          <w:rStyle w:val="nfasis"/>
          <w:rFonts w:eastAsiaTheme="majorEastAsia"/>
        </w:rPr>
        <w:t>Derecho penal y control social</w:t>
      </w:r>
      <w:r>
        <w:t xml:space="preserve">. </w:t>
      </w:r>
      <w:r w:rsidRPr="005F046C">
        <w:rPr>
          <w:lang w:val="en-US"/>
        </w:rPr>
        <w:t xml:space="preserve">2nd ed. Bogotá: </w:t>
      </w:r>
      <w:proofErr w:type="spellStart"/>
      <w:r w:rsidRPr="005F046C">
        <w:rPr>
          <w:lang w:val="en-US"/>
        </w:rPr>
        <w:t>Temis</w:t>
      </w:r>
      <w:proofErr w:type="spellEnd"/>
      <w:r w:rsidRPr="005F046C">
        <w:rPr>
          <w:lang w:val="en-US"/>
        </w:rPr>
        <w:t>, 2012.</w:t>
      </w:r>
    </w:p>
    <w:p w14:paraId="35D3DBA7" w14:textId="77777777" w:rsidR="005F046C" w:rsidRPr="005F046C" w:rsidRDefault="005F046C" w:rsidP="003D6C2A">
      <w:pPr>
        <w:pStyle w:val="NormalWeb"/>
        <w:jc w:val="both"/>
        <w:rPr>
          <w:lang w:val="en-US"/>
        </w:rPr>
      </w:pPr>
      <w:r w:rsidRPr="005F046C">
        <w:rPr>
          <w:lang w:val="en-US"/>
        </w:rPr>
        <w:t xml:space="preserve">United Nations. </w:t>
      </w:r>
      <w:r w:rsidRPr="005F046C">
        <w:rPr>
          <w:rStyle w:val="nfasis"/>
          <w:rFonts w:eastAsiaTheme="majorEastAsia"/>
          <w:lang w:val="en-US"/>
        </w:rPr>
        <w:t>International Covenant on Civil and Political Rights</w:t>
      </w:r>
      <w:r w:rsidRPr="005F046C">
        <w:rPr>
          <w:lang w:val="en-US"/>
        </w:rPr>
        <w:t>. New York, December 16, 1966.</w:t>
      </w:r>
    </w:p>
    <w:p w14:paraId="1B9E69BD" w14:textId="77777777" w:rsidR="005F046C" w:rsidRPr="005F046C" w:rsidRDefault="005F046C" w:rsidP="003D6C2A">
      <w:pPr>
        <w:pStyle w:val="NormalWeb"/>
        <w:jc w:val="both"/>
        <w:rPr>
          <w:lang w:val="en-US"/>
        </w:rPr>
      </w:pPr>
      <w:r w:rsidRPr="005F046C">
        <w:rPr>
          <w:lang w:val="en-US"/>
        </w:rPr>
        <w:t xml:space="preserve">National Office of Public Defense. “Public Defense Clarifies Outdated Information about the Penitentiary System.” February 21, 2025. </w:t>
      </w:r>
      <w:hyperlink r:id="rId9" w:tgtFrame="_new" w:history="1">
        <w:r w:rsidRPr="005F046C">
          <w:rPr>
            <w:rStyle w:val="Hipervnculo"/>
            <w:rFonts w:eastAsiaTheme="majorEastAsia"/>
            <w:lang w:val="en-US"/>
          </w:rPr>
          <w:t>https://www.defensapublica.gob.do/index.php/noticias/item/732-defensa-publica-aclara-informaciones-desactualizadas-sobre-el-sistema-penitenciario</w:t>
        </w:r>
      </w:hyperlink>
      <w:r w:rsidRPr="005F046C">
        <w:rPr>
          <w:lang w:val="en-US"/>
        </w:rPr>
        <w:t>.</w:t>
      </w:r>
    </w:p>
    <w:p w14:paraId="274B49DC" w14:textId="77777777" w:rsidR="005F046C" w:rsidRDefault="005F046C" w:rsidP="003D6C2A">
      <w:pPr>
        <w:pStyle w:val="NormalWeb"/>
        <w:jc w:val="both"/>
      </w:pPr>
      <w:r w:rsidRPr="005F046C">
        <w:rPr>
          <w:lang w:val="en-US"/>
        </w:rPr>
        <w:t xml:space="preserve">Attorney General's Office of the Dominican Republic and General Directorate of Prisons. </w:t>
      </w:r>
      <w:r>
        <w:rPr>
          <w:rStyle w:val="nfasis"/>
          <w:rFonts w:eastAsiaTheme="majorEastAsia"/>
        </w:rPr>
        <w:t>Informe Estadístico sobre la Población Privada de Libertad en la República Dominicana</w:t>
      </w:r>
      <w:r>
        <w:t>. Santo Domingo: Public Prosecutor's Office, 2023.</w:t>
      </w:r>
    </w:p>
    <w:p w14:paraId="0E5D3A5E" w14:textId="77777777" w:rsidR="005F046C" w:rsidRPr="005F046C" w:rsidRDefault="005F046C" w:rsidP="003D6C2A">
      <w:pPr>
        <w:pStyle w:val="NormalWeb"/>
        <w:jc w:val="both"/>
        <w:rPr>
          <w:lang w:val="en-US"/>
        </w:rPr>
      </w:pPr>
      <w:r>
        <w:t xml:space="preserve">Dominican Republic. </w:t>
      </w:r>
      <w:r>
        <w:rPr>
          <w:rStyle w:val="nfasis"/>
          <w:rFonts w:eastAsiaTheme="majorEastAsia"/>
        </w:rPr>
        <w:t>Constitución de la República Dominicana</w:t>
      </w:r>
      <w:r>
        <w:t xml:space="preserve">. </w:t>
      </w:r>
      <w:r w:rsidRPr="005F046C">
        <w:rPr>
          <w:lang w:val="en-US"/>
        </w:rPr>
        <w:t>Promulgated June 13, 2015. Official Gazette No. 10805.</w:t>
      </w:r>
    </w:p>
    <w:p w14:paraId="2994D987" w14:textId="77777777" w:rsidR="005F046C" w:rsidRDefault="005F046C" w:rsidP="003D6C2A">
      <w:pPr>
        <w:pStyle w:val="NormalWeb"/>
        <w:jc w:val="both"/>
      </w:pPr>
      <w:r>
        <w:t xml:space="preserve">Dominican Republic. </w:t>
      </w:r>
      <w:r>
        <w:rPr>
          <w:rStyle w:val="nfasis"/>
          <w:rFonts w:eastAsiaTheme="majorEastAsia"/>
        </w:rPr>
        <w:t>Ley núm. 113-21, que regula el Sistema Penitenciario y Correccional en la República Dominicana</w:t>
      </w:r>
      <w:r>
        <w:t>. Official Gazette No. 11017, April 23, 2021.</w:t>
      </w:r>
    </w:p>
    <w:p w14:paraId="4E69DE6B" w14:textId="77777777" w:rsidR="005F046C" w:rsidRPr="005F046C" w:rsidRDefault="005F046C" w:rsidP="003D6C2A">
      <w:pPr>
        <w:pStyle w:val="NormalWeb"/>
        <w:jc w:val="both"/>
        <w:rPr>
          <w:lang w:val="en-US"/>
        </w:rPr>
      </w:pPr>
      <w:r>
        <w:t xml:space="preserve">Salt, Marcos Gabriel. </w:t>
      </w:r>
      <w:r>
        <w:rPr>
          <w:rStyle w:val="nfasis"/>
          <w:rFonts w:eastAsiaTheme="majorEastAsia"/>
        </w:rPr>
        <w:t>Los derechos fundamentales de los reclusos en España y Argentina</w:t>
      </w:r>
      <w:r>
        <w:t xml:space="preserve">. </w:t>
      </w:r>
      <w:r w:rsidRPr="005F046C">
        <w:rPr>
          <w:lang w:val="en-US"/>
        </w:rPr>
        <w:t xml:space="preserve">Buenos Aires: </w:t>
      </w:r>
      <w:proofErr w:type="spellStart"/>
      <w:r w:rsidRPr="005F046C">
        <w:rPr>
          <w:lang w:val="en-US"/>
        </w:rPr>
        <w:t>Editores</w:t>
      </w:r>
      <w:proofErr w:type="spellEnd"/>
      <w:r w:rsidRPr="005F046C">
        <w:rPr>
          <w:lang w:val="en-US"/>
        </w:rPr>
        <w:t xml:space="preserve"> del Puerto, 1999.</w:t>
      </w:r>
    </w:p>
    <w:p w14:paraId="4E86888F" w14:textId="77777777" w:rsidR="005F046C" w:rsidRPr="005F046C" w:rsidRDefault="005F046C" w:rsidP="003D6C2A">
      <w:pPr>
        <w:pStyle w:val="NormalWeb"/>
        <w:jc w:val="both"/>
        <w:rPr>
          <w:lang w:val="en-US"/>
        </w:rPr>
      </w:pPr>
      <w:r w:rsidRPr="005F046C">
        <w:rPr>
          <w:lang w:val="en-US"/>
        </w:rPr>
        <w:t>Constitutional Court of the Dominican Republic. Judgment TC/0501/20, December 29, 2020.</w:t>
      </w:r>
    </w:p>
    <w:p w14:paraId="1A31C00D" w14:textId="77777777" w:rsidR="005F046C" w:rsidRPr="005F046C" w:rsidRDefault="005F046C" w:rsidP="003D6C2A">
      <w:pPr>
        <w:pStyle w:val="NormalWeb"/>
        <w:jc w:val="both"/>
        <w:rPr>
          <w:lang w:val="en-US"/>
        </w:rPr>
      </w:pPr>
      <w:r w:rsidRPr="005F046C">
        <w:rPr>
          <w:lang w:val="en-US"/>
        </w:rPr>
        <w:t>Constitutional Court of the Dominican Republic. Judgment TC/0555/17, October 31, 2017.</w:t>
      </w:r>
    </w:p>
    <w:p w14:paraId="01A16DFF" w14:textId="77777777" w:rsidR="005F046C" w:rsidRPr="005F046C" w:rsidRDefault="005F046C" w:rsidP="003D6C2A">
      <w:pPr>
        <w:pStyle w:val="NormalWeb"/>
        <w:jc w:val="both"/>
        <w:rPr>
          <w:lang w:val="en-US"/>
        </w:rPr>
      </w:pPr>
      <w:r w:rsidRPr="005F046C">
        <w:rPr>
          <w:lang w:val="en-US"/>
        </w:rPr>
        <w:lastRenderedPageBreak/>
        <w:t>Constitutional Court of the Dominican Republic. Judgment TC/0081/23, February 1, 2023.</w:t>
      </w:r>
    </w:p>
    <w:p w14:paraId="290576C0" w14:textId="77777777" w:rsidR="005F046C" w:rsidRPr="005F046C" w:rsidRDefault="005F046C" w:rsidP="003D6C2A">
      <w:pPr>
        <w:pStyle w:val="NormalWeb"/>
        <w:jc w:val="both"/>
        <w:rPr>
          <w:lang w:val="en-US"/>
        </w:rPr>
      </w:pPr>
      <w:r w:rsidRPr="005F046C">
        <w:rPr>
          <w:lang w:val="en-US"/>
        </w:rPr>
        <w:t>Constitutional Court of the Dominican Republic. Judgment TC/0065/24, June 24, 2024.</w:t>
      </w:r>
    </w:p>
    <w:p w14:paraId="51A9768C" w14:textId="77777777" w:rsidR="005F046C" w:rsidRDefault="005F046C" w:rsidP="003D6C2A">
      <w:pPr>
        <w:pStyle w:val="NormalWeb"/>
        <w:jc w:val="both"/>
      </w:pPr>
      <w:r w:rsidRPr="005F046C">
        <w:rPr>
          <w:lang w:val="en-US"/>
        </w:rPr>
        <w:t xml:space="preserve">American Convention on Human Rights. </w:t>
      </w:r>
      <w:r>
        <w:t>San José, Costa Rica, November 22, 1969.</w:t>
      </w:r>
    </w:p>
    <w:p w14:paraId="1089BC13" w14:textId="77777777" w:rsidR="005F046C" w:rsidRPr="001D4D37" w:rsidRDefault="005F046C" w:rsidP="003D6C2A">
      <w:pPr>
        <w:jc w:val="both"/>
        <w:rPr>
          <w:rFonts w:ascii="Times New Roman" w:hAnsi="Times New Roman" w:cs="Times New Roman"/>
          <w:lang w:val="es-DO"/>
        </w:rPr>
      </w:pPr>
    </w:p>
    <w:sectPr w:rsidR="005F046C" w:rsidRPr="001D4D3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A376" w14:textId="77777777" w:rsidR="002236E1" w:rsidRDefault="002236E1" w:rsidP="00780314">
      <w:pPr>
        <w:spacing w:after="0" w:line="240" w:lineRule="auto"/>
      </w:pPr>
      <w:r>
        <w:separator/>
      </w:r>
    </w:p>
  </w:endnote>
  <w:endnote w:type="continuationSeparator" w:id="0">
    <w:p w14:paraId="1846AF88" w14:textId="77777777" w:rsidR="002236E1" w:rsidRDefault="002236E1" w:rsidP="00780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2932" w14:textId="77777777" w:rsidR="002236E1" w:rsidRDefault="002236E1" w:rsidP="00780314">
      <w:pPr>
        <w:spacing w:after="0" w:line="240" w:lineRule="auto"/>
      </w:pPr>
      <w:r>
        <w:separator/>
      </w:r>
    </w:p>
  </w:footnote>
  <w:footnote w:type="continuationSeparator" w:id="0">
    <w:p w14:paraId="65F6136A" w14:textId="77777777" w:rsidR="002236E1" w:rsidRDefault="002236E1" w:rsidP="00780314">
      <w:pPr>
        <w:spacing w:after="0" w:line="240" w:lineRule="auto"/>
      </w:pPr>
      <w:r>
        <w:continuationSeparator/>
      </w:r>
    </w:p>
  </w:footnote>
  <w:footnote w:id="1">
    <w:p w14:paraId="1A0EAEF5" w14:textId="78450A05" w:rsidR="00780314" w:rsidRPr="003D6C2A" w:rsidRDefault="00780314">
      <w:pPr>
        <w:pStyle w:val="Textonotapie"/>
        <w:rPr>
          <w:lang w:val="es-DO"/>
        </w:rPr>
      </w:pPr>
      <w:r>
        <w:rPr>
          <w:rStyle w:val="Refdenotaalpie"/>
        </w:rPr>
        <w:footnoteRef/>
      </w:r>
      <w:r>
        <w:t xml:space="preserve"> República Dominicana, </w:t>
      </w:r>
      <w:r>
        <w:rPr>
          <w:rStyle w:val="nfasis"/>
        </w:rPr>
        <w:t>Constitución de la República Dominicana</w:t>
      </w:r>
      <w:r>
        <w:t xml:space="preserve">, proclamada el 13 de junio de 2015, Gaceta Oficial núm. 10805, art. 40, numeral 16; República Dominicana, </w:t>
      </w:r>
      <w:r>
        <w:rPr>
          <w:rStyle w:val="nfasis"/>
        </w:rPr>
        <w:t>Ley núm. 113-21, que regula el Sistema Penitenciario y Correccional en la República Dominicana</w:t>
      </w:r>
      <w:r>
        <w:t>, Gaceta Oficial núm. 11017, 23 de abril de 2021, arts. 1 y 3, numeral 8.</w:t>
      </w:r>
    </w:p>
  </w:footnote>
  <w:footnote w:id="2">
    <w:p w14:paraId="34BD3788" w14:textId="44A29275" w:rsidR="00780314" w:rsidRPr="00AF2289" w:rsidRDefault="00780314">
      <w:pPr>
        <w:pStyle w:val="Textonotapie"/>
        <w:rPr>
          <w:lang w:val="es-DO"/>
        </w:rPr>
      </w:pPr>
      <w:r>
        <w:rPr>
          <w:rStyle w:val="Refdenotaalpie"/>
        </w:rPr>
        <w:footnoteRef/>
      </w:r>
      <w:r>
        <w:t xml:space="preserve"> </w:t>
      </w:r>
      <w:r w:rsidR="00AF2289">
        <w:rPr>
          <w:rStyle w:val="nfasis"/>
        </w:rPr>
        <w:t>Convención Americana sobre Derechos Humanos</w:t>
      </w:r>
      <w:r w:rsidR="00AF2289">
        <w:t xml:space="preserve">, suscrita en San José, Costa Rica, el 22 de noviembre de 1969, art. 5.6; Naciones Unidas, </w:t>
      </w:r>
      <w:r w:rsidR="00AF2289">
        <w:rPr>
          <w:rStyle w:val="nfasis"/>
        </w:rPr>
        <w:t>Pacto Internacional de Derechos Civiles y Políticos</w:t>
      </w:r>
      <w:r w:rsidR="00AF2289">
        <w:t>, adoptado el 16 de diciembre de 1966, art. 10.3.</w:t>
      </w:r>
    </w:p>
  </w:footnote>
  <w:footnote w:id="3">
    <w:p w14:paraId="0E385B43" w14:textId="3A7C2FDB" w:rsidR="002A06A6" w:rsidRPr="00AF2289" w:rsidRDefault="002A06A6">
      <w:pPr>
        <w:pStyle w:val="Textonotapie"/>
        <w:rPr>
          <w:lang w:val="es-DO"/>
        </w:rPr>
      </w:pPr>
      <w:r>
        <w:rPr>
          <w:rStyle w:val="Refdenotaalpie"/>
        </w:rPr>
        <w:footnoteRef/>
      </w:r>
      <w:r>
        <w:t xml:space="preserve"> </w:t>
      </w:r>
      <w:r w:rsidR="00AF2289">
        <w:t xml:space="preserve">Wilson Jiménez Díaz, </w:t>
      </w:r>
      <w:r w:rsidR="00AF2289">
        <w:rPr>
          <w:rStyle w:val="nfasis"/>
        </w:rPr>
        <w:t>Impacto de las estrategias de reinserción social de las personas privadas de libertad, Centro de Corrección y Rehabilitación Rafey Hombres, año 2020</w:t>
      </w:r>
      <w:r w:rsidR="00AF2289">
        <w:t xml:space="preserve"> (tesis de maestría, Universidad Abierta para Adultos, 2021), 100–105, </w:t>
      </w:r>
      <w:hyperlink r:id="rId1" w:tgtFrame="_new" w:history="1">
        <w:r w:rsidR="00AF2289">
          <w:rPr>
            <w:rStyle w:val="Hipervnculo"/>
          </w:rPr>
          <w:t>https://rai.uapa.edu.do/handle/123456789/2086</w:t>
        </w:r>
      </w:hyperlink>
    </w:p>
  </w:footnote>
  <w:footnote w:id="4">
    <w:p w14:paraId="45556012" w14:textId="6F77791D" w:rsidR="002A06A6" w:rsidRPr="00AF2289" w:rsidRDefault="002A06A6">
      <w:pPr>
        <w:pStyle w:val="Textonotapie"/>
        <w:rPr>
          <w:lang w:val="es-DO"/>
        </w:rPr>
      </w:pPr>
      <w:r>
        <w:rPr>
          <w:rStyle w:val="Refdenotaalpie"/>
        </w:rPr>
        <w:footnoteRef/>
      </w:r>
      <w:r>
        <w:t xml:space="preserve"> </w:t>
      </w:r>
      <w:r w:rsidR="00AF2289">
        <w:t xml:space="preserve">Carlos García Valdés, </w:t>
      </w:r>
      <w:r w:rsidR="00AF2289">
        <w:rPr>
          <w:rStyle w:val="nfasis"/>
        </w:rPr>
        <w:t>Comentarios a la legislación penitenciaria</w:t>
      </w:r>
      <w:r w:rsidR="00AF2289">
        <w:t xml:space="preserve"> (Madrid: </w:t>
      </w:r>
      <w:proofErr w:type="spellStart"/>
      <w:r w:rsidR="00AF2289">
        <w:t>Civitas</w:t>
      </w:r>
      <w:proofErr w:type="spellEnd"/>
      <w:r w:rsidR="00AF2289">
        <w:t>, 1982), 22.</w:t>
      </w:r>
    </w:p>
  </w:footnote>
  <w:footnote w:id="5">
    <w:p w14:paraId="0063BB08" w14:textId="1C9FF2DD" w:rsidR="002A06A6" w:rsidRPr="00AF2289" w:rsidRDefault="002A06A6">
      <w:pPr>
        <w:pStyle w:val="Textonotapie"/>
        <w:rPr>
          <w:lang w:val="es-DO"/>
        </w:rPr>
      </w:pPr>
      <w:r>
        <w:rPr>
          <w:rStyle w:val="Refdenotaalpie"/>
        </w:rPr>
        <w:footnoteRef/>
      </w:r>
      <w:r>
        <w:t xml:space="preserve"> </w:t>
      </w:r>
      <w:r w:rsidR="00AF2289">
        <w:t xml:space="preserve">Procuraduría General de la República Dominicana y Dirección General de Prisiones, </w:t>
      </w:r>
      <w:r w:rsidR="00AF2289">
        <w:rPr>
          <w:rStyle w:val="nfasis"/>
        </w:rPr>
        <w:t>Informe Estadístico sobre la Población Privada de Libertad en la República Dominicana</w:t>
      </w:r>
      <w:r w:rsidR="00AF2289">
        <w:t xml:space="preserve"> (Santo Domingo: Ministerio Público, 2023); Oficina Nacional de Defensa Pública, “Defensa Pública aclara informaciones desactualizadas sobre el sistema penitenciario,” 21 de febrero de 2025, </w:t>
      </w:r>
      <w:hyperlink r:id="rId2" w:tgtFrame="_new" w:history="1">
        <w:r w:rsidR="00AF2289">
          <w:rPr>
            <w:rStyle w:val="Hipervnculo"/>
          </w:rPr>
          <w:t>https://www.defensapublica.gob.do/index.php/noticias/item/732-defensa-publica-aclara-informaciones-desactualizadas-sobre-el-sistema-penitenciario</w:t>
        </w:r>
      </w:hyperlink>
    </w:p>
  </w:footnote>
  <w:footnote w:id="6">
    <w:p w14:paraId="2A6C4C41" w14:textId="4A347B7D" w:rsidR="002A06A6" w:rsidRPr="00AF2289" w:rsidRDefault="002A06A6">
      <w:pPr>
        <w:pStyle w:val="Textonotapie"/>
        <w:rPr>
          <w:lang w:val="es-DO"/>
        </w:rPr>
      </w:pPr>
      <w:r>
        <w:rPr>
          <w:rStyle w:val="Refdenotaalpie"/>
        </w:rPr>
        <w:footnoteRef/>
      </w:r>
      <w:r>
        <w:t xml:space="preserve"> </w:t>
      </w:r>
      <w:r w:rsidR="00AF2289">
        <w:t xml:space="preserve">República Dominicana, </w:t>
      </w:r>
      <w:r w:rsidR="00AF2289">
        <w:rPr>
          <w:rStyle w:val="nfasis"/>
        </w:rPr>
        <w:t>Constitución de la República Dominicana</w:t>
      </w:r>
      <w:r w:rsidR="00AF2289">
        <w:t xml:space="preserve">, art. 40, numeral 16; República Dominicana, </w:t>
      </w:r>
      <w:r w:rsidR="00AF2289">
        <w:rPr>
          <w:rStyle w:val="nfasis"/>
        </w:rPr>
        <w:t>Ley núm. 113-21</w:t>
      </w:r>
      <w:r w:rsidR="00AF2289">
        <w:t>, arts. 1 y 3, numeral 8; Tribunal Constitucional de la República Dominicana, Sentencia TC/0501/20, 29 de diciembre de 2020.</w:t>
      </w:r>
    </w:p>
  </w:footnote>
  <w:footnote w:id="7">
    <w:p w14:paraId="19F93EE1" w14:textId="58FF7B3E" w:rsidR="002A06A6" w:rsidRPr="00AF2289" w:rsidRDefault="002A06A6">
      <w:pPr>
        <w:pStyle w:val="Textonotapie"/>
        <w:rPr>
          <w:lang w:val="es-DO"/>
        </w:rPr>
      </w:pPr>
      <w:r>
        <w:rPr>
          <w:rStyle w:val="Refdenotaalpie"/>
        </w:rPr>
        <w:footnoteRef/>
      </w:r>
      <w:r>
        <w:t xml:space="preserve"> </w:t>
      </w:r>
      <w:r w:rsidR="00AF2289">
        <w:t xml:space="preserve">Luigi Ferrajoli, </w:t>
      </w:r>
      <w:r w:rsidR="00AF2289">
        <w:rPr>
          <w:rStyle w:val="nfasis"/>
        </w:rPr>
        <w:t>Derecho y razón: teoría del garantismo penal</w:t>
      </w:r>
      <w:r w:rsidR="00AF2289">
        <w:t xml:space="preserve"> (Madrid: Trotta, 1995).</w:t>
      </w:r>
    </w:p>
  </w:footnote>
  <w:footnote w:id="8">
    <w:p w14:paraId="1889963B" w14:textId="32CDA7C0" w:rsidR="002A06A6" w:rsidRPr="00AF2289" w:rsidRDefault="002A06A6">
      <w:pPr>
        <w:pStyle w:val="Textonotapie"/>
        <w:rPr>
          <w:lang w:val="es-DO"/>
        </w:rPr>
      </w:pPr>
      <w:r>
        <w:rPr>
          <w:rStyle w:val="Refdenotaalpie"/>
        </w:rPr>
        <w:footnoteRef/>
      </w:r>
      <w:r>
        <w:t xml:space="preserve"> </w:t>
      </w:r>
      <w:r w:rsidR="00AF2289">
        <w:t xml:space="preserve">Marcos Gabriel Salt, </w:t>
      </w:r>
      <w:r w:rsidR="00AF2289">
        <w:rPr>
          <w:rStyle w:val="nfasis"/>
        </w:rPr>
        <w:t>Los derechos fundamentales de los reclusos en España y Argentina</w:t>
      </w:r>
      <w:r w:rsidR="00AF2289">
        <w:t xml:space="preserve"> (Buenos Aires: Editores del Puerto, 1999), 35.</w:t>
      </w:r>
    </w:p>
  </w:footnote>
  <w:footnote w:id="9">
    <w:p w14:paraId="70267E86" w14:textId="77777777" w:rsidR="00AF2289" w:rsidRPr="00AF2289" w:rsidRDefault="002A06A6" w:rsidP="00AF2289">
      <w:pPr>
        <w:pStyle w:val="Textonotapie"/>
        <w:rPr>
          <w:lang w:val="es-DO"/>
        </w:rPr>
      </w:pPr>
      <w:r>
        <w:rPr>
          <w:rStyle w:val="Refdenotaalpie"/>
        </w:rPr>
        <w:footnoteRef/>
      </w:r>
      <w:r>
        <w:t xml:space="preserve"> </w:t>
      </w:r>
      <w:r w:rsidR="00AF2289" w:rsidRPr="00AF2289">
        <w:rPr>
          <w:lang w:val="es-DO"/>
        </w:rPr>
        <w:t xml:space="preserve">República Dominicana, </w:t>
      </w:r>
      <w:r w:rsidR="00AF2289" w:rsidRPr="00AF2289">
        <w:rPr>
          <w:i/>
          <w:iCs/>
          <w:lang w:val="es-DO"/>
        </w:rPr>
        <w:t>Constitución de la República Dominicana</w:t>
      </w:r>
      <w:r w:rsidR="00AF2289" w:rsidRPr="00AF2289">
        <w:rPr>
          <w:lang w:val="es-DO"/>
        </w:rPr>
        <w:t xml:space="preserve">, arts. 38 y 42; </w:t>
      </w:r>
      <w:r w:rsidR="00AF2289" w:rsidRPr="00AF2289">
        <w:rPr>
          <w:i/>
          <w:iCs/>
          <w:lang w:val="es-DO"/>
        </w:rPr>
        <w:t>Convención Americana sobre Derechos Humanos</w:t>
      </w:r>
      <w:r w:rsidR="00AF2289" w:rsidRPr="00AF2289">
        <w:rPr>
          <w:lang w:val="es-DO"/>
        </w:rPr>
        <w:t>, arts. 5.2 y 5.6; Tribunal Constitucional de la República Dominicana, Sentencia TC/0555/17, 31 de octubre de 2017; Tribunal Constitucional de la República Dominicana, Sentencia TC/0501/20, 29 de diciembre de 2020.</w:t>
      </w:r>
    </w:p>
    <w:p w14:paraId="065D5419" w14:textId="0FD0C7B4" w:rsidR="002A06A6" w:rsidRPr="00AF2289" w:rsidRDefault="002A06A6">
      <w:pPr>
        <w:pStyle w:val="Textonotapie"/>
        <w:rPr>
          <w:lang w:val="es-DO"/>
        </w:rPr>
      </w:pPr>
    </w:p>
  </w:footnote>
  <w:footnote w:id="10">
    <w:p w14:paraId="6EC14D1D" w14:textId="10155E63" w:rsidR="00A90FCF" w:rsidRPr="00AF2289" w:rsidRDefault="00A90FCF">
      <w:pPr>
        <w:pStyle w:val="Textonotapie"/>
        <w:rPr>
          <w:lang w:val="es-DO"/>
        </w:rPr>
      </w:pPr>
      <w:r>
        <w:rPr>
          <w:rStyle w:val="Refdenotaalpie"/>
        </w:rPr>
        <w:footnoteRef/>
      </w:r>
      <w:r>
        <w:t xml:space="preserve"> </w:t>
      </w:r>
      <w:r w:rsidR="00AF2289">
        <w:t xml:space="preserve">Jiménez Díaz, </w:t>
      </w:r>
      <w:r w:rsidR="00AF2289">
        <w:rPr>
          <w:rStyle w:val="nfasis"/>
        </w:rPr>
        <w:t>Impacto de las estrategias de reinserción social de las personas privadas de libertad</w:t>
      </w:r>
      <w:r w:rsidR="00AF2289">
        <w:t>, 100–105.</w:t>
      </w:r>
    </w:p>
  </w:footnote>
  <w:footnote w:id="11">
    <w:p w14:paraId="6E294891" w14:textId="62D88C86" w:rsidR="00A90FCF" w:rsidRPr="00AF2289" w:rsidRDefault="00A90FCF">
      <w:pPr>
        <w:pStyle w:val="Textonotapie"/>
        <w:rPr>
          <w:lang w:val="es-DO"/>
        </w:rPr>
      </w:pPr>
      <w:r>
        <w:rPr>
          <w:rStyle w:val="Refdenotaalpie"/>
        </w:rPr>
        <w:footnoteRef/>
      </w:r>
      <w:r>
        <w:t xml:space="preserve"> </w:t>
      </w:r>
      <w:r w:rsidR="00AF2289" w:rsidRPr="00AF2289">
        <w:rPr>
          <w:lang w:val="es-DO"/>
        </w:rPr>
        <w:t xml:space="preserve">Francisco Muñoz Conde, </w:t>
      </w:r>
      <w:r w:rsidR="00AF2289" w:rsidRPr="00AF2289">
        <w:rPr>
          <w:i/>
          <w:iCs/>
          <w:lang w:val="es-DO"/>
        </w:rPr>
        <w:t>Derecho penal y control social</w:t>
      </w:r>
      <w:r w:rsidR="00AF2289" w:rsidRPr="00AF2289">
        <w:rPr>
          <w:lang w:val="es-DO"/>
        </w:rPr>
        <w:t>, 2.ª ed. (Bogotá: Temis, 2012), 89.</w:t>
      </w:r>
    </w:p>
  </w:footnote>
  <w:footnote w:id="12">
    <w:p w14:paraId="68AEA312" w14:textId="52F95D7E" w:rsidR="00A90FCF" w:rsidRPr="00AF2289" w:rsidRDefault="00A90FCF">
      <w:pPr>
        <w:pStyle w:val="Textonotapie"/>
        <w:rPr>
          <w:lang w:val="es-DO"/>
        </w:rPr>
      </w:pPr>
      <w:r>
        <w:rPr>
          <w:rStyle w:val="Refdenotaalpie"/>
        </w:rPr>
        <w:footnoteRef/>
      </w:r>
      <w:r>
        <w:t xml:space="preserve"> </w:t>
      </w:r>
      <w:r w:rsidR="00AF2289">
        <w:t xml:space="preserve">Procuraduría General de la República Dominicana y Dirección General de Prisiones, </w:t>
      </w:r>
      <w:r w:rsidR="00AF2289">
        <w:rPr>
          <w:rStyle w:val="nfasis"/>
        </w:rPr>
        <w:t>Informe Estadístico sobre la Población Privada de Libertad en la República Dominicana</w:t>
      </w:r>
      <w:r w:rsidR="00AF2289">
        <w:t>; Tribunal Constitucional de la República Dominicana, Sentencia TC/0081/23, 1 de febrero de 2023; Tribunal Constitucional de la República Dominicana, Sentencia TC/0065/24, 24 de junio de 2024.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18"/>
    <w:rsid w:val="00051965"/>
    <w:rsid w:val="000C34B2"/>
    <w:rsid w:val="001D4D37"/>
    <w:rsid w:val="002236E1"/>
    <w:rsid w:val="002A06A6"/>
    <w:rsid w:val="003D6C2A"/>
    <w:rsid w:val="00420016"/>
    <w:rsid w:val="005F046C"/>
    <w:rsid w:val="0072471D"/>
    <w:rsid w:val="0075030E"/>
    <w:rsid w:val="00780314"/>
    <w:rsid w:val="007D568F"/>
    <w:rsid w:val="00934B71"/>
    <w:rsid w:val="0094306E"/>
    <w:rsid w:val="00955218"/>
    <w:rsid w:val="009B42BE"/>
    <w:rsid w:val="00A03003"/>
    <w:rsid w:val="00A07211"/>
    <w:rsid w:val="00A16703"/>
    <w:rsid w:val="00A90FCF"/>
    <w:rsid w:val="00AF2289"/>
    <w:rsid w:val="00B13526"/>
    <w:rsid w:val="00C27985"/>
    <w:rsid w:val="00CC4FEA"/>
    <w:rsid w:val="00D631A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69718"/>
  <w15:chartTrackingRefBased/>
  <w15:docId w15:val="{1ACB0A8F-285E-9E4B-95D4-7F61020AA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55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55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52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52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52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52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52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52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52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5218"/>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955218"/>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955218"/>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955218"/>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955218"/>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955218"/>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55218"/>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55218"/>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55218"/>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55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5218"/>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552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5218"/>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55218"/>
    <w:pPr>
      <w:spacing w:before="160"/>
      <w:jc w:val="center"/>
    </w:pPr>
    <w:rPr>
      <w:i/>
      <w:iCs/>
      <w:color w:val="404040" w:themeColor="text1" w:themeTint="BF"/>
    </w:rPr>
  </w:style>
  <w:style w:type="character" w:customStyle="1" w:styleId="CitaCar">
    <w:name w:val="Cita Car"/>
    <w:basedOn w:val="Fuentedeprrafopredeter"/>
    <w:link w:val="Cita"/>
    <w:uiPriority w:val="29"/>
    <w:rsid w:val="00955218"/>
    <w:rPr>
      <w:i/>
      <w:iCs/>
      <w:color w:val="404040" w:themeColor="text1" w:themeTint="BF"/>
      <w:lang w:val="es-ES"/>
    </w:rPr>
  </w:style>
  <w:style w:type="paragraph" w:styleId="Prrafodelista">
    <w:name w:val="List Paragraph"/>
    <w:basedOn w:val="Normal"/>
    <w:uiPriority w:val="34"/>
    <w:qFormat/>
    <w:rsid w:val="00955218"/>
    <w:pPr>
      <w:ind w:left="720"/>
      <w:contextualSpacing/>
    </w:pPr>
  </w:style>
  <w:style w:type="character" w:styleId="nfasisintenso">
    <w:name w:val="Intense Emphasis"/>
    <w:basedOn w:val="Fuentedeprrafopredeter"/>
    <w:uiPriority w:val="21"/>
    <w:qFormat/>
    <w:rsid w:val="00955218"/>
    <w:rPr>
      <w:i/>
      <w:iCs/>
      <w:color w:val="0F4761" w:themeColor="accent1" w:themeShade="BF"/>
    </w:rPr>
  </w:style>
  <w:style w:type="paragraph" w:styleId="Citadestacada">
    <w:name w:val="Intense Quote"/>
    <w:basedOn w:val="Normal"/>
    <w:next w:val="Normal"/>
    <w:link w:val="CitadestacadaCar"/>
    <w:uiPriority w:val="30"/>
    <w:qFormat/>
    <w:rsid w:val="00955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5218"/>
    <w:rPr>
      <w:i/>
      <w:iCs/>
      <w:color w:val="0F4761" w:themeColor="accent1" w:themeShade="BF"/>
      <w:lang w:val="es-ES"/>
    </w:rPr>
  </w:style>
  <w:style w:type="character" w:styleId="Referenciaintensa">
    <w:name w:val="Intense Reference"/>
    <w:basedOn w:val="Fuentedeprrafopredeter"/>
    <w:uiPriority w:val="32"/>
    <w:qFormat/>
    <w:rsid w:val="00955218"/>
    <w:rPr>
      <w:b/>
      <w:bCs/>
      <w:smallCaps/>
      <w:color w:val="0F4761" w:themeColor="accent1" w:themeShade="BF"/>
      <w:spacing w:val="5"/>
    </w:rPr>
  </w:style>
  <w:style w:type="paragraph" w:styleId="NormalWeb">
    <w:name w:val="Normal (Web)"/>
    <w:basedOn w:val="Normal"/>
    <w:uiPriority w:val="99"/>
    <w:semiHidden/>
    <w:unhideWhenUsed/>
    <w:rsid w:val="00955218"/>
    <w:pPr>
      <w:spacing w:before="100" w:beforeAutospacing="1" w:after="100" w:afterAutospacing="1" w:line="240" w:lineRule="auto"/>
    </w:pPr>
    <w:rPr>
      <w:rFonts w:ascii="Times New Roman" w:eastAsia="Times New Roman" w:hAnsi="Times New Roman" w:cs="Times New Roman"/>
      <w:kern w:val="0"/>
      <w:lang w:val="es-DO" w:eastAsia="es-MX"/>
      <w14:ligatures w14:val="none"/>
    </w:rPr>
  </w:style>
  <w:style w:type="character" w:styleId="nfasis">
    <w:name w:val="Emphasis"/>
    <w:basedOn w:val="Fuentedeprrafopredeter"/>
    <w:uiPriority w:val="20"/>
    <w:qFormat/>
    <w:rsid w:val="00955218"/>
    <w:rPr>
      <w:i/>
      <w:iCs/>
    </w:rPr>
  </w:style>
  <w:style w:type="paragraph" w:styleId="Textonotapie">
    <w:name w:val="footnote text"/>
    <w:basedOn w:val="Normal"/>
    <w:link w:val="TextonotapieCar"/>
    <w:uiPriority w:val="99"/>
    <w:semiHidden/>
    <w:unhideWhenUsed/>
    <w:rsid w:val="0078031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80314"/>
    <w:rPr>
      <w:sz w:val="20"/>
      <w:szCs w:val="20"/>
      <w:lang w:val="es-ES"/>
    </w:rPr>
  </w:style>
  <w:style w:type="character" w:styleId="Refdenotaalpie">
    <w:name w:val="footnote reference"/>
    <w:basedOn w:val="Fuentedeprrafopredeter"/>
    <w:uiPriority w:val="99"/>
    <w:semiHidden/>
    <w:unhideWhenUsed/>
    <w:rsid w:val="00780314"/>
    <w:rPr>
      <w:vertAlign w:val="superscript"/>
    </w:rPr>
  </w:style>
  <w:style w:type="character" w:styleId="Hipervnculo">
    <w:name w:val="Hyperlink"/>
    <w:basedOn w:val="Fuentedeprrafopredeter"/>
    <w:uiPriority w:val="99"/>
    <w:semiHidden/>
    <w:unhideWhenUsed/>
    <w:rsid w:val="00AF2289"/>
    <w:rPr>
      <w:color w:val="0000FF"/>
      <w:u w:val="single"/>
    </w:rPr>
  </w:style>
  <w:style w:type="character" w:styleId="Textoennegrita">
    <w:name w:val="Strong"/>
    <w:basedOn w:val="Fuentedeprrafopredeter"/>
    <w:uiPriority w:val="22"/>
    <w:qFormat/>
    <w:rsid w:val="001D4D37"/>
    <w:rPr>
      <w:b/>
      <w:bCs/>
    </w:rPr>
  </w:style>
  <w:style w:type="paragraph" w:customStyle="1" w:styleId="pdq2pgselectionanchorcontainer">
    <w:name w:val="pdq2pg_selectionanchorcontainer"/>
    <w:basedOn w:val="Normal"/>
    <w:rsid w:val="005F046C"/>
    <w:pPr>
      <w:spacing w:before="100" w:beforeAutospacing="1" w:after="100" w:afterAutospacing="1" w:line="240" w:lineRule="auto"/>
    </w:pPr>
    <w:rPr>
      <w:rFonts w:ascii="Times New Roman" w:eastAsia="Times New Roman" w:hAnsi="Times New Roman" w:cs="Times New Roman"/>
      <w:kern w:val="0"/>
      <w:lang w:val="es-DO"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i.uapa.edu.do/handle/123456789/2086"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fensapublica.gob.do/index.php/noticias/item/732-defensa-publica-aclara-informaciones-desactualizadas-sobre-el-sistema-penitenciario"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defensapublica.gob.do/index.php/noticias/item/732-defensa-publica-aclara-informaciones-desactualizadas-sobre-el-sistema-penitenciario" TargetMode="External"/><Relationship Id="rId1" Type="http://schemas.openxmlformats.org/officeDocument/2006/relationships/hyperlink" Target="https://rai.uapa.edu.do/handle/123456789/208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27471-4916-3743-B57B-02A990DD8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3016</Words>
  <Characters>16594</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Alexia Matos</dc:creator>
  <cp:keywords/>
  <dc:description/>
  <cp:lastModifiedBy>Alexia Matos</cp:lastModifiedBy>
  <cp:revision>2</cp:revision>
  <cp:lastPrinted>2026-07-01T00:28:00Z</cp:lastPrinted>
  <dcterms:created xsi:type="dcterms:W3CDTF">2026-07-17T20:25:00Z</dcterms:created>
  <dcterms:modified xsi:type="dcterms:W3CDTF">2026-07-17T20:25:00Z</dcterms:modified>
</cp:coreProperties>
</file>