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734224" w14:textId="77777777" w:rsidR="000A42F0" w:rsidRPr="000A42F0" w:rsidRDefault="000A42F0">
      <w:pPr>
        <w:rPr>
          <w:b/>
          <w:bCs/>
          <w:lang w:val="es-419"/>
        </w:rPr>
      </w:pPr>
      <w:r w:rsidRPr="000A42F0">
        <w:rPr>
          <w:b/>
          <w:bCs/>
          <w:lang w:val="es-419"/>
        </w:rPr>
        <w:t>La efectividad de los mecanismos jurídicos para prevenir el abuso de autoridad en el Gran Santo Domingo (2021-2026).</w:t>
      </w:r>
      <w:r w:rsidRPr="000A42F0">
        <w:rPr>
          <w:b/>
          <w:bCs/>
          <w:lang w:val="es-419"/>
        </w:rPr>
        <w:t xml:space="preserve"> </w:t>
      </w:r>
    </w:p>
    <w:p w14:paraId="27E77BF2" w14:textId="77777777" w:rsidR="000A42F0" w:rsidRDefault="000A42F0">
      <w:pPr>
        <w:rPr>
          <w:lang w:val="es-419"/>
        </w:rPr>
      </w:pPr>
    </w:p>
    <w:p w14:paraId="7DC9DDC0" w14:textId="444D0237" w:rsidR="000A42F0" w:rsidRPr="000A42F0" w:rsidRDefault="000A42F0">
      <w:pPr>
        <w:rPr>
          <w:lang w:val="es-419"/>
        </w:rPr>
      </w:pPr>
      <w:r w:rsidRPr="000A42F0">
        <w:rPr>
          <w:lang w:val="es-419"/>
        </w:rPr>
        <w:t>Brithany Mesa</w:t>
      </w:r>
    </w:p>
    <w:p w14:paraId="0BABFCEA" w14:textId="70BF154D" w:rsidR="000A42F0" w:rsidRDefault="000A42F0">
      <w:pPr>
        <w:rPr>
          <w:lang w:val="es-419"/>
        </w:rPr>
      </w:pPr>
      <w:r w:rsidRPr="000A42F0">
        <w:rPr>
          <w:lang w:val="es-419"/>
        </w:rPr>
        <w:t>Estudiante de Derecho en la Pontificia Universidad Catolica Madre y Maestra (PUCMM)</w:t>
      </w:r>
      <w:r w:rsidR="00602460">
        <w:rPr>
          <w:lang w:val="es-419"/>
        </w:rPr>
        <w:t xml:space="preserve"> </w:t>
      </w:r>
      <w:r w:rsidR="00602460" w:rsidRPr="00602460">
        <w:rPr>
          <w:color w:val="0E2841" w:themeColor="text2"/>
          <w:lang w:val="es-419"/>
        </w:rPr>
        <w:t>BAMR0001@ce.pucmm.edu.do</w:t>
      </w:r>
    </w:p>
    <w:p w14:paraId="66D43E78" w14:textId="77777777" w:rsidR="000A42F0" w:rsidRPr="000A42F0" w:rsidRDefault="000A42F0">
      <w:pPr>
        <w:rPr>
          <w:lang w:val="es-419"/>
        </w:rPr>
      </w:pPr>
    </w:p>
    <w:p w14:paraId="53628EE8" w14:textId="77777777" w:rsidR="000A42F0" w:rsidRPr="000A42F0" w:rsidRDefault="000A42F0">
      <w:pPr>
        <w:rPr>
          <w:rStyle w:val="ng-star-inserted"/>
          <w:rFonts w:ascii="Google Sans Text" w:hAnsi="Google Sans Text"/>
          <w:b/>
          <w:bCs/>
          <w:lang w:val="es-419"/>
        </w:rPr>
      </w:pPr>
      <w:r w:rsidRPr="000A42F0">
        <w:rPr>
          <w:rStyle w:val="ng-star-inserted"/>
          <w:rFonts w:ascii="Google Sans Text" w:hAnsi="Google Sans Text"/>
          <w:b/>
          <w:bCs/>
          <w:lang w:val="es-419"/>
        </w:rPr>
        <w:t xml:space="preserve">RESUMEN:  </w:t>
      </w:r>
    </w:p>
    <w:p w14:paraId="3EB4A54F" w14:textId="736DB917" w:rsidR="000A42F0" w:rsidRPr="000A42F0" w:rsidRDefault="000A42F0">
      <w:pPr>
        <w:rPr>
          <w:rFonts w:ascii="Google Sans Text" w:hAnsi="Google Sans Text"/>
          <w:lang w:val="es-419"/>
        </w:rPr>
      </w:pPr>
      <w:r w:rsidRPr="000A42F0">
        <w:rPr>
          <w:rStyle w:val="ng-star-inserted"/>
          <w:rFonts w:ascii="Google Sans Text" w:hAnsi="Google Sans Text"/>
          <w:lang w:val="es-419"/>
        </w:rPr>
        <w:t xml:space="preserve">El presente estudio analiza la persistencia del abuso de autoridad en la demarcación del Gran Santo Domingo durante el periodo 2021-2026, bajo una óptica de derecho administrativo y constitucional. A pesar de contar con un bloque de legalidad robusto, se identifica una crisis de legitimidad manifestada en el uso arbitrario de la fuerza y presiones institucionales opresivas. </w:t>
      </w:r>
      <w:r w:rsidRPr="000A42F0">
        <w:rPr>
          <w:rFonts w:ascii="Google Sans Text" w:hAnsi="Google Sans Text"/>
          <w:b/>
          <w:bCs/>
          <w:lang w:val="es-419"/>
        </w:rPr>
        <w:t>Metodológicamente</w:t>
      </w:r>
      <w:r w:rsidRPr="000A42F0">
        <w:rPr>
          <w:rStyle w:val="ng-star-inserted"/>
          <w:rFonts w:ascii="Google Sans Text" w:hAnsi="Google Sans Text"/>
          <w:lang w:val="es-419"/>
        </w:rPr>
        <w:t xml:space="preserve">, se realiza un análisis cualitativo de la doctrina contemporánea y la jurisprudencia del Tribunal Constitucional dominicano. Los </w:t>
      </w:r>
      <w:r w:rsidRPr="000A42F0">
        <w:rPr>
          <w:rFonts w:ascii="Google Sans Text" w:hAnsi="Google Sans Text"/>
          <w:b/>
          <w:bCs/>
          <w:lang w:val="es-419"/>
        </w:rPr>
        <w:t>resultados</w:t>
      </w:r>
      <w:r w:rsidRPr="000A42F0">
        <w:rPr>
          <w:rStyle w:val="ng-star-inserted"/>
          <w:rFonts w:ascii="Google Sans Text" w:hAnsi="Google Sans Text"/>
          <w:lang w:val="es-419"/>
        </w:rPr>
        <w:t xml:space="preserve"> demuestran que el núcleo del problema reside en una mediocridad sistémica y en una 'falsa institucionalidad' que convierte al debido proceso en una formalidad estéril para el ciudadano común. Se </w:t>
      </w:r>
      <w:r w:rsidRPr="000A42F0">
        <w:rPr>
          <w:rFonts w:ascii="Google Sans Text" w:hAnsi="Google Sans Text"/>
          <w:b/>
          <w:bCs/>
          <w:lang w:val="es-419"/>
        </w:rPr>
        <w:t>concluye</w:t>
      </w:r>
      <w:r w:rsidRPr="000A42F0">
        <w:rPr>
          <w:rStyle w:val="ng-star-inserted"/>
          <w:rFonts w:ascii="Google Sans Text" w:hAnsi="Google Sans Text"/>
          <w:lang w:val="es-419"/>
        </w:rPr>
        <w:t xml:space="preserve"> que existe una desconexión entre la protección legal formal y la tutela material efectiva, exacerbada por la ausencia de trazabilidad técnica en la actuación estatal".</w:t>
      </w:r>
    </w:p>
    <w:p w14:paraId="51F4EA82" w14:textId="38E71B66" w:rsidR="00170611" w:rsidRPr="000A42F0" w:rsidRDefault="000A42F0">
      <w:pPr>
        <w:rPr>
          <w:lang w:val="es-419"/>
        </w:rPr>
      </w:pPr>
      <w:r w:rsidRPr="000A42F0">
        <w:rPr>
          <w:lang w:val="es-419"/>
        </w:rPr>
        <w:br w:type="page"/>
      </w:r>
      <w:r w:rsidR="00170611" w:rsidRPr="00170611">
        <w:rPr>
          <w:rFonts w:ascii="Times New Roman" w:hAnsi="Times New Roman" w:cs="Times New Roman"/>
          <w:lang w:val="es-419"/>
        </w:rPr>
        <w:lastRenderedPageBreak/>
        <w:t>El presente estudio analiza la persistencia del abuso de autoridad en la demarcación del Gran Santo Domingo y Santo Domingo Este durante el periodo 2021-2026, bajo una óptica de derecho administrativo y constitucional. A pesar de contar con un bloque de legalidad robusto, el ejercicio de la función pública atraviesa una crisis de legitimidad que se manifiesta en el uso arbitrario de la fuerza y en presiones institucionales opresivas. La investigación evalúa la eficacia de las normativas vigentes, identificando que el núcleo del problema no reside en la ausencia de leyes, sino en una mediocridad sistémica y en la consolidación de una "falsa institucionalidad". Este fenómeno permite que el debido proceso se convierta en una formalidad estéril para el ciudadano sin influencia, mientras la impunidad se refugia en procesos disciplinarios confusos y carentes de sanciones reales. A través del análisis de la doctrina contemporánea y la jurisprudencia del Tribunal Constitucional, se concluye que la efectividad normativa es puramente formal, evidenciando una desconexión entre la protección legal y la tutela material efectiva, exacerbada por la ausencia de trazabilidad técnica en la actuación estatal.</w:t>
      </w:r>
    </w:p>
    <w:p w14:paraId="44AB98E8" w14:textId="77777777" w:rsidR="00170611" w:rsidRDefault="00170611">
      <w:pPr>
        <w:rPr>
          <w:rFonts w:ascii="Times New Roman" w:hAnsi="Times New Roman" w:cs="Times New Roman"/>
          <w:lang w:val="es-419"/>
        </w:rPr>
      </w:pPr>
    </w:p>
    <w:p w14:paraId="08669A77" w14:textId="63406DD1" w:rsidR="0071595D" w:rsidRPr="0071595D" w:rsidRDefault="00170611" w:rsidP="0071595D">
      <w:pPr>
        <w:pStyle w:val="Heading5"/>
        <w:rPr>
          <w:rFonts w:ascii="Times New Roman" w:hAnsi="Times New Roman" w:cs="Times New Roman"/>
          <w:lang w:val="es-419"/>
        </w:rPr>
      </w:pPr>
      <w:r w:rsidRPr="00170611">
        <w:rPr>
          <w:rFonts w:ascii="Times New Roman" w:hAnsi="Times New Roman" w:cs="Times New Roman"/>
          <w:lang w:val="es-419"/>
        </w:rPr>
        <w:t>Marco Problemático y Tesis</w:t>
      </w:r>
    </w:p>
    <w:p w14:paraId="104B2359" w14:textId="30A79356" w:rsidR="00170611" w:rsidRDefault="00170611" w:rsidP="00170611">
      <w:pPr>
        <w:rPr>
          <w:rFonts w:ascii="Times New Roman" w:hAnsi="Times New Roman" w:cs="Times New Roman"/>
          <w:lang w:val="es-419"/>
        </w:rPr>
      </w:pPr>
      <w:r w:rsidRPr="00170611">
        <w:rPr>
          <w:rFonts w:ascii="Times New Roman" w:hAnsi="Times New Roman" w:cs="Times New Roman"/>
          <w:lang w:val="es-419"/>
        </w:rPr>
        <w:t xml:space="preserve">El ejercicio de la función pública en el Gran Santo Domingo y (2021-2026) ha estado signado por una profunda crisis de legitimidad, derivada de prácticas autoritarias que erosionan el contrato social y la confianza ciudadana. Este fenómeno trasciende la mera desviación presupuestaria para manifestarse en una tensión estructural entre el  </w:t>
      </w:r>
      <w:r w:rsidRPr="00170611">
        <w:rPr>
          <w:rFonts w:ascii="Times New Roman" w:hAnsi="Times New Roman" w:cs="Times New Roman"/>
          <w:i/>
          <w:iCs/>
          <w:lang w:val="es-419"/>
        </w:rPr>
        <w:t>ius puniendi</w:t>
      </w:r>
      <w:r w:rsidRPr="00170611">
        <w:rPr>
          <w:rFonts w:ascii="Times New Roman" w:hAnsi="Times New Roman" w:cs="Times New Roman"/>
          <w:lang w:val="es-419"/>
        </w:rPr>
        <w:t xml:space="preserve">  estatal y los derechos fundamentales consagrados en el artículo 69 de la Constitución Dominicana. La problemática adquiere una dimensión crítica al observar cómo los cuerpos de seguridad y las autoridades administrativas ejercen un uso excesivo de la fuerza y presiones que desprotegen al ciudadano común. Ante este escenario, surge la interrogante central:  </w:t>
      </w:r>
      <w:r w:rsidRPr="00170611">
        <w:rPr>
          <w:rFonts w:ascii="Times New Roman" w:hAnsi="Times New Roman" w:cs="Times New Roman"/>
          <w:i/>
          <w:iCs/>
          <w:lang w:val="es-419"/>
        </w:rPr>
        <w:t>“¿En qué medida son efectivos los mecanismos jurídicos vigentes para prevenir el abuso de autoridad y garantizar el debido proceso en ciudadanos sin influencia en el Gran Santo Domingo?”</w:t>
      </w:r>
      <w:r w:rsidRPr="00170611">
        <w:rPr>
          <w:rFonts w:ascii="Times New Roman" w:hAnsi="Times New Roman" w:cs="Times New Roman"/>
          <w:lang w:val="es-419"/>
        </w:rPr>
        <w:t xml:space="preserve"> . Al respecto, se sostiene la tesis de que la persistencia del abuso no deriva de la ausencia de leyes, sino de una mediocridad sistémica en la aplicación de las normativas que convierte el debido proceso en</w:t>
      </w:r>
      <w:r w:rsidRPr="00884CAE">
        <w:rPr>
          <w:lang w:val="es-419"/>
        </w:rPr>
        <w:t xml:space="preserve"> una </w:t>
      </w:r>
      <w:r w:rsidRPr="00170611">
        <w:rPr>
          <w:rFonts w:ascii="Times New Roman" w:hAnsi="Times New Roman" w:cs="Times New Roman"/>
          <w:lang w:val="es-419"/>
        </w:rPr>
        <w:t>declaración formal carente de tutela administrativa y judicial efectiva.</w:t>
      </w:r>
    </w:p>
    <w:p w14:paraId="5A2452BE" w14:textId="77777777" w:rsidR="00170611" w:rsidRDefault="00170611" w:rsidP="00170611">
      <w:pPr>
        <w:rPr>
          <w:rFonts w:ascii="Times New Roman" w:hAnsi="Times New Roman" w:cs="Times New Roman"/>
          <w:lang w:val="es-419"/>
        </w:rPr>
      </w:pPr>
    </w:p>
    <w:p w14:paraId="64BDCA2A" w14:textId="77777777" w:rsidR="00170611" w:rsidRDefault="00170611" w:rsidP="00170611">
      <w:pPr>
        <w:rPr>
          <w:rFonts w:ascii="Times New Roman" w:hAnsi="Times New Roman" w:cs="Times New Roman"/>
          <w:lang w:val="es-419"/>
        </w:rPr>
      </w:pPr>
    </w:p>
    <w:p w14:paraId="394911FB" w14:textId="77777777" w:rsidR="00170611" w:rsidRDefault="00170611" w:rsidP="00170611">
      <w:pPr>
        <w:rPr>
          <w:rFonts w:ascii="Times New Roman" w:hAnsi="Times New Roman" w:cs="Times New Roman"/>
          <w:lang w:val="es-419"/>
        </w:rPr>
      </w:pPr>
    </w:p>
    <w:p w14:paraId="16A49896" w14:textId="77777777" w:rsidR="00170611" w:rsidRDefault="00170611" w:rsidP="00170611">
      <w:pPr>
        <w:rPr>
          <w:rFonts w:ascii="Times New Roman" w:hAnsi="Times New Roman" w:cs="Times New Roman"/>
          <w:lang w:val="es-419"/>
        </w:rPr>
      </w:pPr>
    </w:p>
    <w:p w14:paraId="6300CDED" w14:textId="77777777" w:rsidR="00170611" w:rsidRDefault="00170611" w:rsidP="00170611">
      <w:pPr>
        <w:rPr>
          <w:rFonts w:ascii="Times New Roman" w:hAnsi="Times New Roman" w:cs="Times New Roman"/>
          <w:lang w:val="es-419"/>
        </w:rPr>
      </w:pPr>
    </w:p>
    <w:p w14:paraId="7508279E" w14:textId="77777777" w:rsidR="00170611" w:rsidRDefault="00170611" w:rsidP="00170611">
      <w:pPr>
        <w:rPr>
          <w:rFonts w:ascii="Times New Roman" w:hAnsi="Times New Roman" w:cs="Times New Roman"/>
          <w:lang w:val="es-419"/>
        </w:rPr>
      </w:pPr>
    </w:p>
    <w:p w14:paraId="673A2197" w14:textId="77777777" w:rsidR="00170611" w:rsidRDefault="00170611" w:rsidP="00170611">
      <w:pPr>
        <w:rPr>
          <w:rFonts w:ascii="Times New Roman" w:hAnsi="Times New Roman" w:cs="Times New Roman"/>
          <w:lang w:val="es-419"/>
        </w:rPr>
      </w:pPr>
    </w:p>
    <w:p w14:paraId="17A6B4E1" w14:textId="08F4B280" w:rsidR="00170611" w:rsidRPr="00170611" w:rsidRDefault="00170611" w:rsidP="00170611">
      <w:pPr>
        <w:pStyle w:val="Heading5"/>
        <w:rPr>
          <w:rFonts w:ascii="Times New Roman" w:hAnsi="Times New Roman" w:cs="Times New Roman"/>
          <w:lang w:val="es-419"/>
        </w:rPr>
      </w:pPr>
      <w:r w:rsidRPr="00170611">
        <w:rPr>
          <w:rFonts w:ascii="Times New Roman" w:hAnsi="Times New Roman" w:cs="Times New Roman"/>
          <w:lang w:val="es-419"/>
        </w:rPr>
        <w:lastRenderedPageBreak/>
        <w:t>Fallas Institucionales y Normativa Penal</w:t>
      </w:r>
    </w:p>
    <w:p w14:paraId="7175D3EF" w14:textId="1124C228" w:rsidR="00170611" w:rsidRPr="00170611" w:rsidRDefault="00170611" w:rsidP="00170611">
      <w:pPr>
        <w:rPr>
          <w:rFonts w:ascii="Times New Roman" w:hAnsi="Times New Roman" w:cs="Times New Roman"/>
          <w:lang w:val="es-419"/>
        </w:rPr>
      </w:pPr>
      <w:r w:rsidRPr="00170611">
        <w:rPr>
          <w:rFonts w:ascii="Times New Roman" w:hAnsi="Times New Roman" w:cs="Times New Roman"/>
          <w:lang w:val="es-419"/>
        </w:rPr>
        <w:t>La desconexión estructural entre la norma adjetiva y la ejecución de los procesos disciplinarios fomenta un clima de impunidad que socava los cimientos del Estado de derecho. Esta falla institucional se manifiesta en una alarmante falta de coordinación entre los órganos de control interno y el Ministerio Público, lo cual anula la vigilancia real sobre los servidores públicos. Lo que definimos como mediocridad sistémica es la incapacidad del aparato estatal para transformar la infracción detectada en una sanción ejemplar, permitiendo que el procedimiento administrativo se dilate hasta la caducidad. Al respecto, Gregorio Montero subraya que el derecho de defensa administrativa es la barrera principal contra el desvío de autoridad; no obstante, advierte que la vulneración sistemática de sub-derechos, como el acceso al expediente y el derecho de audiencia, mantiene al ciudadano en un estado de indefensión fáctica.</w:t>
      </w:r>
      <w:r>
        <w:rPr>
          <w:rStyle w:val="FootnoteReference"/>
          <w:rFonts w:ascii="Times New Roman" w:hAnsi="Times New Roman" w:cs="Times New Roman"/>
          <w:lang w:val="es-419"/>
        </w:rPr>
        <w:footnoteReference w:id="1"/>
      </w:r>
      <w:r w:rsidRPr="00170611">
        <w:rPr>
          <w:rFonts w:ascii="Times New Roman" w:hAnsi="Times New Roman" w:cs="Times New Roman"/>
          <w:lang w:val="es-419"/>
        </w:rPr>
        <w:t xml:space="preserve"> </w:t>
      </w:r>
      <w:r w:rsidRPr="00170611">
        <w:rPr>
          <w:rFonts w:ascii="Times New Roman" w:hAnsi="Times New Roman" w:cs="Times New Roman"/>
          <w:lang w:val="es-419"/>
        </w:rPr>
        <w:t>Complementando esta visión, Justiniano Montero destaca que, incluso en sede judicial, el abuso de las inhibiciones y otras tácticas dilatorias erosionan la celeridad procesal, permitiendo que la responsabilidad del funcionario se disipe en el tiempo.</w:t>
      </w:r>
      <w:r w:rsidRPr="00170611">
        <w:rPr>
          <w:rStyle w:val="FootnoteReference"/>
          <w:rFonts w:ascii="Times New Roman" w:hAnsi="Times New Roman" w:cs="Times New Roman"/>
          <w:lang w:val="es-419"/>
        </w:rPr>
        <w:footnoteReference w:id="2"/>
      </w:r>
      <w:r w:rsidRPr="00170611">
        <w:rPr>
          <w:rFonts w:ascii="Times New Roman" w:hAnsi="Times New Roman" w:cs="Times New Roman"/>
          <w:lang w:val="es-419"/>
        </w:rPr>
        <w:t xml:space="preserve"> Estas deficiencias operativas persisten a pesar de que los artículos 184 al 187 del Código Penal tipifican con claridad el allanamiento ilegal y la violencia injustificada,</w:t>
      </w:r>
      <w:r>
        <w:rPr>
          <w:rStyle w:val="FootnoteReference"/>
          <w:rFonts w:ascii="Times New Roman" w:hAnsi="Times New Roman" w:cs="Times New Roman"/>
          <w:lang w:val="es-419"/>
        </w:rPr>
        <w:footnoteReference w:id="3"/>
      </w:r>
      <w:r w:rsidRPr="00170611">
        <w:rPr>
          <w:rFonts w:ascii="Times New Roman" w:hAnsi="Times New Roman" w:cs="Times New Roman"/>
          <w:lang w:val="es-419"/>
        </w:rPr>
        <w:t xml:space="preserve"> y de que la Ley núm. 590-16 establece principios de legalidad para la Policía Nacional.</w:t>
      </w:r>
      <w:r>
        <w:rPr>
          <w:rStyle w:val="FootnoteReference"/>
          <w:rFonts w:ascii="Times New Roman" w:hAnsi="Times New Roman" w:cs="Times New Roman"/>
          <w:lang w:val="es-419"/>
        </w:rPr>
        <w:footnoteReference w:id="4"/>
      </w:r>
      <w:r w:rsidRPr="00170611">
        <w:rPr>
          <w:rFonts w:ascii="Times New Roman" w:hAnsi="Times New Roman" w:cs="Times New Roman"/>
          <w:lang w:val="es-419"/>
        </w:rPr>
        <w:t xml:space="preserve"> Por tanto, se defiende que la normativa es un "cascarón vacío", puesto que sin voluntad política de ejecución y sin el cumplimiento del debido proceso disciplinario —como exige la Sentencia TC/0141/23—, la ley es un instrumento puramente simbólico frente a la arbitrariedad.</w:t>
      </w:r>
      <w:r>
        <w:rPr>
          <w:rStyle w:val="FootnoteReference"/>
          <w:rFonts w:ascii="Times New Roman" w:hAnsi="Times New Roman" w:cs="Times New Roman"/>
          <w:lang w:val="es-419"/>
        </w:rPr>
        <w:footnoteReference w:id="5"/>
      </w:r>
      <w:r w:rsidR="00A502C7">
        <w:rPr>
          <w:rFonts w:ascii="Times New Roman" w:hAnsi="Times New Roman" w:cs="Times New Roman"/>
          <w:lang w:val="es-419"/>
        </w:rPr>
        <w:t xml:space="preserve">  </w:t>
      </w:r>
    </w:p>
    <w:p w14:paraId="51C5D239" w14:textId="77777777" w:rsidR="00170611" w:rsidRDefault="00170611" w:rsidP="00170611">
      <w:pPr>
        <w:rPr>
          <w:rFonts w:ascii="Times New Roman" w:hAnsi="Times New Roman" w:cs="Times New Roman"/>
          <w:lang w:val="es-419"/>
        </w:rPr>
      </w:pPr>
    </w:p>
    <w:p w14:paraId="0D90DD3B" w14:textId="77777777" w:rsidR="00170611" w:rsidRDefault="00170611" w:rsidP="00170611">
      <w:pPr>
        <w:rPr>
          <w:rFonts w:ascii="Times New Roman" w:hAnsi="Times New Roman" w:cs="Times New Roman"/>
          <w:lang w:val="es-419"/>
        </w:rPr>
      </w:pPr>
    </w:p>
    <w:p w14:paraId="24C0DCA6" w14:textId="77777777" w:rsidR="00170611" w:rsidRDefault="00170611" w:rsidP="00170611">
      <w:pPr>
        <w:rPr>
          <w:rFonts w:ascii="Times New Roman" w:hAnsi="Times New Roman" w:cs="Times New Roman"/>
          <w:lang w:val="es-419"/>
        </w:rPr>
      </w:pPr>
    </w:p>
    <w:p w14:paraId="3CD464E3" w14:textId="0AF855E5" w:rsidR="00A502C7" w:rsidRDefault="00A502C7">
      <w:pPr>
        <w:rPr>
          <w:rFonts w:ascii="Times New Roman" w:hAnsi="Times New Roman" w:cs="Times New Roman"/>
          <w:lang w:val="es-419"/>
        </w:rPr>
      </w:pPr>
      <w:r>
        <w:rPr>
          <w:rFonts w:ascii="Times New Roman" w:hAnsi="Times New Roman" w:cs="Times New Roman"/>
          <w:lang w:val="es-419"/>
        </w:rPr>
        <w:br w:type="page"/>
      </w:r>
    </w:p>
    <w:p w14:paraId="628E9805" w14:textId="77777777" w:rsidR="00A502C7" w:rsidRPr="0071595D" w:rsidRDefault="00A502C7" w:rsidP="00A502C7">
      <w:pPr>
        <w:pStyle w:val="Heading5"/>
        <w:rPr>
          <w:rFonts w:ascii="Times New Roman" w:hAnsi="Times New Roman" w:cs="Times New Roman"/>
          <w:lang w:val="es-419"/>
        </w:rPr>
      </w:pPr>
      <w:r w:rsidRPr="0071595D">
        <w:rPr>
          <w:rFonts w:ascii="Times New Roman" w:hAnsi="Times New Roman" w:cs="Times New Roman"/>
          <w:lang w:val="es-419"/>
        </w:rPr>
        <w:lastRenderedPageBreak/>
        <w:t>Afectación a Ciudadanos sin Influencia y Justicia Selectiva</w:t>
      </w:r>
    </w:p>
    <w:p w14:paraId="61A20384" w14:textId="77777777" w:rsidR="0071595D" w:rsidRPr="0071595D" w:rsidRDefault="00A502C7" w:rsidP="00A502C7">
      <w:pPr>
        <w:rPr>
          <w:rFonts w:ascii="Times New Roman" w:hAnsi="Times New Roman" w:cs="Times New Roman"/>
          <w:color w:val="FFFFFF"/>
          <w:lang w:val="es-419"/>
        </w:rPr>
      </w:pPr>
      <w:r w:rsidRPr="0071595D">
        <w:rPr>
          <w:rFonts w:ascii="Times New Roman" w:hAnsi="Times New Roman" w:cs="Times New Roman"/>
          <w:lang w:val="es-419"/>
        </w:rPr>
        <w:t>La fragilidad de las instituciones dominicanas ha consolidado un modelo de justicia selectiva donde el nivel socioeconómico condiciona el acceso real a las garantías constitucionales. Esta asimetría de poder permite que el aparato estatal actúe con rigor inflexible contra los desprotegidos mientras otorga laxitud procesal a sectores con influencia política. El fenómeno de la "falsa institucionalidad" crea una arquitectura jurídica que parece funcionar, pero cuyos engranajes están diseñados para el desgaste del justiciable. Nolberto Batista introduce el concepto de la “pena del proceso” para describir cómo el litigio se ha transformado en un mecanismo de castigo económico y emocional, utilizado para intimidar a quienes osan cuestionar la autoridad.</w:t>
      </w:r>
      <w:r w:rsidRPr="0071595D">
        <w:rPr>
          <w:rStyle w:val="FootnoteReference"/>
          <w:rFonts w:ascii="Times New Roman" w:hAnsi="Times New Roman" w:cs="Times New Roman"/>
          <w:lang w:val="es-419"/>
        </w:rPr>
        <w:footnoteReference w:id="6"/>
      </w:r>
      <w:r w:rsidRPr="0071595D">
        <w:rPr>
          <w:rFonts w:ascii="Times New Roman" w:hAnsi="Times New Roman" w:cs="Times New Roman"/>
          <w:lang w:val="es-419"/>
        </w:rPr>
        <w:t xml:space="preserve"> Esta tesis es reforzada por Julián Padilla, quien sostiene que el sistema suele aplicar la ley de forma opresiva contra los sectores "impotentes" en el Gran Santo Domingo, favoreciendo intereses particulares bajo el manto de recomendaciones políticas.</w:t>
      </w:r>
      <w:r w:rsidRPr="0071595D">
        <w:rPr>
          <w:rStyle w:val="FootnoteReference"/>
          <w:rFonts w:ascii="Times New Roman" w:hAnsi="Times New Roman" w:cs="Times New Roman"/>
          <w:lang w:val="es-419"/>
        </w:rPr>
        <w:footnoteReference w:id="7"/>
      </w:r>
      <w:r w:rsidRPr="0071595D">
        <w:rPr>
          <w:rFonts w:ascii="Times New Roman" w:hAnsi="Times New Roman" w:cs="Times New Roman"/>
          <w:lang w:val="es-419"/>
        </w:rPr>
        <w:t xml:space="preserve"> La jurisprudencia del Tribunal Constitucional ha intentado frenar esta tendencia; por ejemplo, en la Sentencia TC/0075/14 se anuló una cancelación arbitraria por falta de investigación previa,</w:t>
      </w:r>
      <w:r w:rsidRPr="0071595D">
        <w:rPr>
          <w:rStyle w:val="FootnoteReference"/>
          <w:rFonts w:ascii="Times New Roman" w:hAnsi="Times New Roman" w:cs="Times New Roman"/>
          <w:lang w:val="es-419"/>
        </w:rPr>
        <w:footnoteReference w:id="8"/>
      </w:r>
      <w:r w:rsidRPr="0071595D">
        <w:rPr>
          <w:rFonts w:ascii="Times New Roman" w:hAnsi="Times New Roman" w:cs="Times New Roman"/>
          <w:lang w:val="es-419"/>
        </w:rPr>
        <w:t>mientras que en la Sentencia TC/0344/14 se aclaró que la discrecionalidad del Ejecutivo no es una "patente de corso" para la arbitrariedad.</w:t>
      </w:r>
      <w:r w:rsidRPr="0071595D">
        <w:rPr>
          <w:rStyle w:val="FootnoteReference"/>
          <w:rFonts w:ascii="Times New Roman" w:hAnsi="Times New Roman" w:cs="Times New Roman"/>
          <w:lang w:val="es-419"/>
        </w:rPr>
        <w:footnoteReference w:id="9"/>
      </w:r>
      <w:r w:rsidRPr="0071595D">
        <w:rPr>
          <w:rFonts w:ascii="Times New Roman" w:hAnsi="Times New Roman" w:cs="Times New Roman"/>
          <w:lang w:val="es-419"/>
        </w:rPr>
        <w:t xml:space="preserve"> Sin embargo, la realidad fenoménica demuestra que, sin la aplicación del Principio de Razonabilidad exigido por la Sentencia TC/0388/15, el proceso judicial sigue siendo un arma de exclusión que desincentiva la búsqueda de justicia en el ciudadano común.</w:t>
      </w:r>
      <w:r w:rsidRPr="0071595D">
        <w:rPr>
          <w:rStyle w:val="FootnoteReference"/>
          <w:rFonts w:ascii="Times New Roman" w:hAnsi="Times New Roman" w:cs="Times New Roman"/>
          <w:lang w:val="es-419"/>
        </w:rPr>
        <w:footnoteReference w:id="10"/>
      </w:r>
      <w:r w:rsidRPr="0071595D">
        <w:rPr>
          <w:rFonts w:ascii="Times New Roman" w:hAnsi="Times New Roman" w:cs="Times New Roman"/>
          <w:color w:val="FFFFFF"/>
          <w:lang w:val="es-419"/>
        </w:rPr>
        <w:t xml:space="preserve"> Justin</w:t>
      </w:r>
    </w:p>
    <w:p w14:paraId="50C9E4BC" w14:textId="77777777" w:rsidR="0071595D" w:rsidRDefault="0071595D">
      <w:pPr>
        <w:rPr>
          <w:color w:val="FFFFFF"/>
          <w:lang w:val="es-419"/>
        </w:rPr>
      </w:pPr>
      <w:r>
        <w:rPr>
          <w:color w:val="FFFFFF"/>
          <w:lang w:val="es-419"/>
        </w:rPr>
        <w:br w:type="page"/>
      </w:r>
    </w:p>
    <w:p w14:paraId="2A29B3BE" w14:textId="431557E2" w:rsidR="0071595D" w:rsidRPr="0071595D" w:rsidRDefault="0071595D" w:rsidP="0071595D">
      <w:pPr>
        <w:pStyle w:val="Heading5"/>
        <w:rPr>
          <w:rFonts w:ascii="Times New Roman" w:hAnsi="Times New Roman" w:cs="Times New Roman"/>
          <w:lang w:val="es-419"/>
        </w:rPr>
      </w:pPr>
      <w:r w:rsidRPr="0071595D">
        <w:rPr>
          <w:rFonts w:ascii="Times New Roman" w:hAnsi="Times New Roman" w:cs="Times New Roman"/>
          <w:lang w:val="es-419"/>
        </w:rPr>
        <w:lastRenderedPageBreak/>
        <w:t>Protección de Datos y Trazabilidad Técnica</w:t>
      </w:r>
    </w:p>
    <w:p w14:paraId="1CE141E3" w14:textId="0E362643" w:rsidR="0071595D" w:rsidRDefault="0071595D" w:rsidP="0071595D">
      <w:pPr>
        <w:rPr>
          <w:rFonts w:ascii="Times New Roman" w:hAnsi="Times New Roman" w:cs="Times New Roman"/>
          <w:lang w:val="es-419"/>
        </w:rPr>
      </w:pPr>
      <w:r w:rsidRPr="0071595D">
        <w:rPr>
          <w:rFonts w:ascii="Times New Roman" w:hAnsi="Times New Roman" w:cs="Times New Roman"/>
          <w:lang w:val="es-419"/>
        </w:rPr>
        <w:t>La ausencia de trazabilidad técnica en la gestión de las bases de datos institucionales representa el nuevo frente del abuso de autoridad en la República Dominicana. En el contexto de una digitalización administrativa sin auditoría, el control operativo sobre quién accede a la información sensible es una urgencia constitucional superior al simple reconocimiento legal del derecho. La vulnerabilidad digital del ciudadano es explotada por funcionarios que utilizan datos confidenciales para coaccionar o extorsionar, amparados en la opacidad de los sistemas oficiales. Emely García Aybar enfatiza que la eficacia de las salvaguardas legales depende estrictamente de mecanismos técnicos que permitan controlar el tratamiento de los datos en tiempo real,</w:t>
      </w:r>
      <w:r>
        <w:rPr>
          <w:rStyle w:val="FootnoteReference"/>
          <w:rFonts w:ascii="Times New Roman" w:hAnsi="Times New Roman" w:cs="Times New Roman"/>
          <w:lang w:val="es-419"/>
        </w:rPr>
        <w:footnoteReference w:id="11"/>
      </w:r>
      <w:r w:rsidRPr="0071595D">
        <w:rPr>
          <w:rFonts w:ascii="Times New Roman" w:hAnsi="Times New Roman" w:cs="Times New Roman"/>
          <w:lang w:val="es-419"/>
        </w:rPr>
        <w:t xml:space="preserve"> mientras que Freddy Thomas Durán Reyes sostiene que el hábeas data debe funcionar como un límite infranqueable al tratamiento arbitrario de la información por parte de la administración.</w:t>
      </w:r>
      <w:r>
        <w:rPr>
          <w:rStyle w:val="FootnoteReference"/>
          <w:rFonts w:ascii="Times New Roman" w:hAnsi="Times New Roman" w:cs="Times New Roman"/>
          <w:lang w:val="es-419"/>
        </w:rPr>
        <w:footnoteReference w:id="12"/>
      </w:r>
      <w:r w:rsidRPr="0071595D">
        <w:rPr>
          <w:rFonts w:ascii="Times New Roman" w:hAnsi="Times New Roman" w:cs="Times New Roman"/>
          <w:lang w:val="es-419"/>
        </w:rPr>
        <w:t xml:space="preserve"> A pesar de que la Ley núm. 172-13 regula esta materia y de que la Sentencia TC/0484/16 estableció que las excepciones de seguridad nacional no pueden ser un cheque en blanco para violar el debido proceso,</w:t>
      </w:r>
      <w:r>
        <w:rPr>
          <w:rStyle w:val="FootnoteReference"/>
          <w:rFonts w:ascii="Times New Roman" w:hAnsi="Times New Roman" w:cs="Times New Roman"/>
          <w:lang w:val="es-419"/>
        </w:rPr>
        <w:footnoteReference w:id="13"/>
      </w:r>
      <w:r w:rsidRPr="0071595D">
        <w:rPr>
          <w:rFonts w:ascii="Times New Roman" w:hAnsi="Times New Roman" w:cs="Times New Roman"/>
          <w:lang w:val="es-419"/>
        </w:rPr>
        <w:t xml:space="preserve"> la debilidad supervisora persiste. Se defiende que, sin registros de auditoría obligatorios y transparentes, el derecho a la privacidad queda a merced de la voluntad caprichosa de los servidores públicos, convirtiendo la protección de datos en una quimera jurídica si no se implementa una trazabilidad técnica que registre cada consulta en los repositorios del Estado.</w:t>
      </w:r>
    </w:p>
    <w:p w14:paraId="11A262CA" w14:textId="77777777" w:rsidR="009254FD" w:rsidRDefault="009254FD" w:rsidP="009254FD">
      <w:pPr>
        <w:rPr>
          <w:rFonts w:ascii="Times New Roman" w:hAnsi="Times New Roman" w:cs="Times New Roman"/>
          <w:lang w:val="es-419"/>
        </w:rPr>
      </w:pPr>
    </w:p>
    <w:p w14:paraId="3313F7DD" w14:textId="77777777" w:rsidR="009254FD" w:rsidRDefault="009254FD" w:rsidP="009254FD">
      <w:pPr>
        <w:rPr>
          <w:rFonts w:ascii="Times New Roman" w:hAnsi="Times New Roman" w:cs="Times New Roman"/>
          <w:lang w:val="es-419"/>
        </w:rPr>
      </w:pPr>
    </w:p>
    <w:p w14:paraId="6BEDA334" w14:textId="77777777" w:rsidR="009254FD" w:rsidRDefault="009254FD" w:rsidP="009254FD">
      <w:pPr>
        <w:rPr>
          <w:rFonts w:ascii="Times New Roman" w:hAnsi="Times New Roman" w:cs="Times New Roman"/>
          <w:lang w:val="es-419"/>
        </w:rPr>
      </w:pPr>
    </w:p>
    <w:p w14:paraId="51BADAEA" w14:textId="77777777" w:rsidR="009254FD" w:rsidRDefault="009254FD" w:rsidP="009254FD">
      <w:pPr>
        <w:rPr>
          <w:rFonts w:ascii="Times New Roman" w:hAnsi="Times New Roman" w:cs="Times New Roman"/>
          <w:lang w:val="es-419"/>
        </w:rPr>
      </w:pPr>
    </w:p>
    <w:p w14:paraId="5C99A6C5" w14:textId="77777777" w:rsidR="009254FD" w:rsidRDefault="009254FD" w:rsidP="009254FD">
      <w:pPr>
        <w:rPr>
          <w:rFonts w:ascii="Times New Roman" w:hAnsi="Times New Roman" w:cs="Times New Roman"/>
          <w:lang w:val="es-419"/>
        </w:rPr>
      </w:pPr>
    </w:p>
    <w:p w14:paraId="44DCFD26" w14:textId="77777777" w:rsidR="009254FD" w:rsidRDefault="009254FD" w:rsidP="009254FD">
      <w:pPr>
        <w:rPr>
          <w:rFonts w:ascii="Times New Roman" w:hAnsi="Times New Roman" w:cs="Times New Roman"/>
          <w:lang w:val="es-419"/>
        </w:rPr>
      </w:pPr>
    </w:p>
    <w:p w14:paraId="2ADE65FD" w14:textId="77777777" w:rsidR="009254FD" w:rsidRDefault="009254FD" w:rsidP="009254FD">
      <w:pPr>
        <w:rPr>
          <w:rFonts w:ascii="Times New Roman" w:hAnsi="Times New Roman" w:cs="Times New Roman"/>
          <w:lang w:val="es-419"/>
        </w:rPr>
      </w:pPr>
    </w:p>
    <w:p w14:paraId="3748179E" w14:textId="77777777" w:rsidR="009254FD" w:rsidRDefault="009254FD" w:rsidP="009254FD">
      <w:pPr>
        <w:rPr>
          <w:rFonts w:ascii="Times New Roman" w:hAnsi="Times New Roman" w:cs="Times New Roman"/>
          <w:lang w:val="es-419"/>
        </w:rPr>
      </w:pPr>
    </w:p>
    <w:p w14:paraId="29903726" w14:textId="77777777" w:rsidR="009254FD" w:rsidRDefault="009254FD" w:rsidP="009254FD">
      <w:pPr>
        <w:rPr>
          <w:rFonts w:ascii="Times New Roman" w:hAnsi="Times New Roman" w:cs="Times New Roman"/>
          <w:lang w:val="es-419"/>
        </w:rPr>
      </w:pPr>
    </w:p>
    <w:p w14:paraId="534F1126" w14:textId="77777777" w:rsidR="009254FD" w:rsidRDefault="009254FD" w:rsidP="009254FD">
      <w:pPr>
        <w:rPr>
          <w:rFonts w:ascii="Times New Roman" w:hAnsi="Times New Roman" w:cs="Times New Roman"/>
          <w:lang w:val="es-419"/>
        </w:rPr>
      </w:pPr>
    </w:p>
    <w:p w14:paraId="64ED45B6" w14:textId="1CA07902" w:rsidR="009254FD" w:rsidRPr="00D44EBE" w:rsidRDefault="009254FD" w:rsidP="009254FD">
      <w:pPr>
        <w:rPr>
          <w:rFonts w:ascii="Times New Roman" w:hAnsi="Times New Roman" w:cs="Times New Roman"/>
          <w:color w:val="156082" w:themeColor="accent1"/>
          <w:lang w:val="es-419"/>
        </w:rPr>
      </w:pPr>
      <w:r w:rsidRPr="00D44EBE">
        <w:rPr>
          <w:rFonts w:ascii="Times New Roman" w:hAnsi="Times New Roman" w:cs="Times New Roman"/>
          <w:color w:val="156082" w:themeColor="accent1"/>
          <w:lang w:val="es-419"/>
        </w:rPr>
        <w:lastRenderedPageBreak/>
        <w:t xml:space="preserve">Contraargumento y Refutación </w:t>
      </w:r>
    </w:p>
    <w:p w14:paraId="58728C59" w14:textId="7FB1D960" w:rsidR="009254FD" w:rsidRPr="00D44EBE" w:rsidRDefault="009254FD" w:rsidP="009254FD">
      <w:pPr>
        <w:rPr>
          <w:rFonts w:ascii="Times New Roman" w:hAnsi="Times New Roman" w:cs="Times New Roman"/>
          <w:lang w:val="es-419"/>
        </w:rPr>
      </w:pPr>
      <w:r w:rsidRPr="00D44EBE">
        <w:rPr>
          <w:rFonts w:ascii="Times New Roman" w:hAnsi="Times New Roman" w:cs="Times New Roman"/>
          <w:lang w:val="es-419"/>
        </w:rPr>
        <w:t xml:space="preserve">Desde una perspectiva formalista, podría </w:t>
      </w:r>
      <w:r w:rsidRPr="00D44EBE">
        <w:rPr>
          <w:rFonts w:ascii="Times New Roman" w:hAnsi="Times New Roman" w:cs="Times New Roman"/>
          <w:lang w:val="es-419"/>
        </w:rPr>
        <w:t>estableserce</w:t>
      </w:r>
      <w:r w:rsidRPr="00D44EBE">
        <w:rPr>
          <w:rFonts w:ascii="Times New Roman" w:hAnsi="Times New Roman" w:cs="Times New Roman"/>
          <w:lang w:val="es-419"/>
        </w:rPr>
        <w:t xml:space="preserve"> que el marco legal dominicano es robusto, moderno y suficiente para contener cualquier asomo de arbitrariedad. Los defensores de esta postura señalan la existencia de la Ley núm. 107-13,</w:t>
      </w:r>
      <w:r w:rsidRPr="00D44EBE">
        <w:rPr>
          <w:rStyle w:val="FootnoteReference"/>
          <w:rFonts w:ascii="Times New Roman" w:hAnsi="Times New Roman" w:cs="Times New Roman"/>
          <w:lang w:val="es-419"/>
        </w:rPr>
        <w:footnoteReference w:id="14"/>
      </w:r>
      <w:r w:rsidRPr="00D44EBE">
        <w:rPr>
          <w:rFonts w:ascii="Times New Roman" w:hAnsi="Times New Roman" w:cs="Times New Roman"/>
          <w:lang w:val="es-419"/>
        </w:rPr>
        <w:t xml:space="preserve"> que consagra los derechos de las personas frente a la administración, y la Constitución de 2015, que erige la dignidad humana como eje fundante del Estado. No obstante, la realidad fenoménica e institucional desvirtúa la suficiencia de este bloque de legalidad. La evidencia empírica de la  </w:t>
      </w:r>
      <w:r w:rsidRPr="00D44EBE">
        <w:rPr>
          <w:rFonts w:ascii="Times New Roman" w:hAnsi="Times New Roman" w:cs="Times New Roman"/>
          <w:b/>
          <w:bCs/>
          <w:lang w:val="es-419"/>
        </w:rPr>
        <w:t>Operación Coral y Coral 5G</w:t>
      </w:r>
      <w:r w:rsidRPr="00D44EBE">
        <w:rPr>
          <w:rStyle w:val="FootnoteReference"/>
          <w:rFonts w:ascii="Times New Roman" w:hAnsi="Times New Roman" w:cs="Times New Roman"/>
          <w:b/>
          <w:bCs/>
          <w:lang w:val="es-419"/>
        </w:rPr>
        <w:footnoteReference w:id="15"/>
      </w:r>
      <w:r w:rsidRPr="00D44EBE">
        <w:rPr>
          <w:rFonts w:ascii="Times New Roman" w:hAnsi="Times New Roman" w:cs="Times New Roman"/>
          <w:lang w:val="es-419"/>
        </w:rPr>
        <w:t xml:space="preserve">  reveló cómo altos mandos militares y policiales instrumentalizaron las estructuras de poder para el desvío de recursos y la coacción, demostrando que la ley por sí sola es inoperante cuando los controles internos son capturados por el clientelismo. Asimismo, el caso del  </w:t>
      </w:r>
      <w:r w:rsidRPr="00D44EBE">
        <w:rPr>
          <w:rFonts w:ascii="Times New Roman" w:hAnsi="Times New Roman" w:cs="Times New Roman"/>
          <w:b/>
          <w:bCs/>
          <w:lang w:val="es-419"/>
        </w:rPr>
        <w:t>Coronel Fausto Madé Ramírez</w:t>
      </w:r>
      <w:r w:rsidRPr="00D44EBE">
        <w:rPr>
          <w:rFonts w:ascii="Times New Roman" w:hAnsi="Times New Roman" w:cs="Times New Roman"/>
          <w:lang w:val="es-419"/>
        </w:rPr>
        <w:t xml:space="preserve">  en Los Mina (2026)</w:t>
      </w:r>
      <w:r w:rsidRPr="00D44EBE">
        <w:rPr>
          <w:rStyle w:val="FootnoteReference"/>
          <w:rFonts w:ascii="Times New Roman" w:hAnsi="Times New Roman" w:cs="Times New Roman"/>
          <w:lang w:val="es-419"/>
        </w:rPr>
        <w:footnoteReference w:id="16"/>
      </w:r>
      <w:r w:rsidRPr="00D44EBE">
        <w:rPr>
          <w:rFonts w:ascii="Times New Roman" w:hAnsi="Times New Roman" w:cs="Times New Roman"/>
          <w:lang w:val="es-419"/>
        </w:rPr>
        <w:t>, acusado de violencia física directa contra una ciudadana, ilustra que la norma escrita no detiene la brutalidad institucional en el terreno cuando falla el sistema disciplinario inmediato. Estos casos confirman que la robustez legislativa es irrelevante si no existe un control operativo y una voluntad de sanción que rompa el ciclo de impunidad.</w:t>
      </w:r>
    </w:p>
    <w:p w14:paraId="2A41D1EF" w14:textId="77777777" w:rsidR="009254FD" w:rsidRPr="009254FD" w:rsidRDefault="009254FD" w:rsidP="009254FD">
      <w:pPr>
        <w:pStyle w:val="Heading5"/>
        <w:rPr>
          <w:rFonts w:ascii="Times New Roman" w:hAnsi="Times New Roman" w:cs="Times New Roman"/>
          <w:lang w:val="es-419"/>
        </w:rPr>
      </w:pPr>
      <w:r w:rsidRPr="009254FD">
        <w:rPr>
          <w:rFonts w:ascii="Times New Roman" w:hAnsi="Times New Roman" w:cs="Times New Roman"/>
          <w:lang w:val="es-419"/>
        </w:rPr>
        <w:t>Opinión Personal Fundamentada</w:t>
      </w:r>
    </w:p>
    <w:p w14:paraId="3A1F774B" w14:textId="43852D68" w:rsidR="009254FD" w:rsidRPr="00884CAE" w:rsidRDefault="009254FD" w:rsidP="009254FD">
      <w:pPr>
        <w:rPr>
          <w:lang w:val="es-419"/>
        </w:rPr>
      </w:pPr>
      <w:r w:rsidRPr="009254FD">
        <w:rPr>
          <w:rFonts w:ascii="Times New Roman" w:hAnsi="Times New Roman" w:cs="Times New Roman"/>
          <w:lang w:val="es-419"/>
        </w:rPr>
        <w:t xml:space="preserve">Desde una interpretación </w:t>
      </w:r>
      <w:r>
        <w:rPr>
          <w:rFonts w:ascii="Times New Roman" w:hAnsi="Times New Roman" w:cs="Times New Roman"/>
          <w:lang w:val="es-419"/>
        </w:rPr>
        <w:t xml:space="preserve">critíca </w:t>
      </w:r>
      <w:r w:rsidRPr="009254FD">
        <w:rPr>
          <w:rFonts w:ascii="Times New Roman" w:hAnsi="Times New Roman" w:cs="Times New Roman"/>
          <w:lang w:val="es-419"/>
        </w:rPr>
        <w:t>de la praxis jurídica dominicana, se advierte que la mediocridad regulatoria no constituye un error accidental, sino una decisión política de omisión que preserva zonas de impunidad. Al mantener procesos disciplinarios deliberadamente confusos y carentes de consecuencias materiales, el Estado permite la persistencia de una "zona gris" donde el funcionario puede actuar con arbitrariedad sin temor a una sanción efectiva. Esta configuración beneficia a las estructuras clientelares que priorizan la estabilidad del poder</w:t>
      </w:r>
      <w:r>
        <w:rPr>
          <w:rFonts w:ascii="Times New Roman" w:hAnsi="Times New Roman" w:cs="Times New Roman"/>
          <w:lang w:val="es-419"/>
        </w:rPr>
        <w:t xml:space="preserve"> </w:t>
      </w:r>
      <w:r w:rsidRPr="009254FD">
        <w:rPr>
          <w:rFonts w:ascii="Times New Roman" w:hAnsi="Times New Roman" w:cs="Times New Roman"/>
          <w:lang w:val="es-419"/>
        </w:rPr>
        <w:t>sobre el interés general, sacrificando la confianza pública y la seguridad jurídica en favor de la conveniencia política. Se sostiene que esta inacción es</w:t>
      </w:r>
      <w:r>
        <w:rPr>
          <w:rFonts w:ascii="Times New Roman" w:hAnsi="Times New Roman" w:cs="Times New Roman"/>
          <w:lang w:val="es-419"/>
        </w:rPr>
        <w:t xml:space="preserve"> </w:t>
      </w:r>
      <w:r w:rsidRPr="009254FD">
        <w:rPr>
          <w:rFonts w:ascii="Times New Roman" w:hAnsi="Times New Roman" w:cs="Times New Roman"/>
          <w:lang w:val="es-419"/>
        </w:rPr>
        <w:t>una forma de desviación de poder por omisión que vulnera el mandato ético de la función pública.</w:t>
      </w:r>
      <w:r>
        <w:rPr>
          <w:rFonts w:ascii="Times New Roman" w:hAnsi="Times New Roman" w:cs="Times New Roman"/>
          <w:lang w:val="es-419"/>
        </w:rPr>
        <w:t xml:space="preserve"> </w:t>
      </w:r>
      <w:r w:rsidRPr="009254FD">
        <w:rPr>
          <w:rFonts w:ascii="Times New Roman" w:hAnsi="Times New Roman" w:cs="Times New Roman"/>
          <w:lang w:val="es-419"/>
        </w:rPr>
        <w:t>Por consiguiente, se justifica jurídicamente que la reforma necesaria no debe ser legislativa dado que el país posee leyes de vanguardia— sino estrictamente técnica y operativa. El enfoque debe migrar hacia la implementación de sistemas de trazabilidad y auditoría obligatoria para toda actuación administrativa, vinculando este requisito con el principio de responsabilidad establecido en la Ley núm. 247-12.</w:t>
      </w:r>
      <w:r w:rsidR="00D44EBE">
        <w:rPr>
          <w:rStyle w:val="FootnoteReference"/>
          <w:rFonts w:ascii="Times New Roman" w:hAnsi="Times New Roman" w:cs="Times New Roman"/>
          <w:lang w:val="es-419"/>
        </w:rPr>
        <w:footnoteReference w:id="17"/>
      </w:r>
      <w:r w:rsidRPr="009254FD">
        <w:rPr>
          <w:rFonts w:ascii="Times New Roman" w:hAnsi="Times New Roman" w:cs="Times New Roman"/>
          <w:lang w:val="es-419"/>
        </w:rPr>
        <w:t xml:space="preserve"> El cumplimiento del artículo 12 de dicha ley, sobre la responsabilidad civil y penal de los funcionarios, solo es exigible si existen herramientas </w:t>
      </w:r>
      <w:r w:rsidRPr="00884CAE">
        <w:rPr>
          <w:lang w:val="es-419"/>
        </w:rPr>
        <w:t>que permitan auditar el rastro de sus decisiones. La verdadera tutela administrativa efectiva nacerá de la capacidad técnica</w:t>
      </w:r>
      <w:r w:rsidR="00D44EBE">
        <w:rPr>
          <w:lang w:val="es-419"/>
        </w:rPr>
        <w:t xml:space="preserve"> de </w:t>
      </w:r>
      <w:r w:rsidRPr="00884CAE">
        <w:rPr>
          <w:lang w:val="es-419"/>
        </w:rPr>
        <w:lastRenderedPageBreak/>
        <w:t xml:space="preserve">registrar y sancionar cada desviación del poder </w:t>
      </w:r>
      <w:r w:rsidRPr="009254FD">
        <w:rPr>
          <w:rFonts w:ascii="Times New Roman" w:hAnsi="Times New Roman" w:cs="Times New Roman"/>
          <w:lang w:val="es-419"/>
        </w:rPr>
        <w:t>en tiempo real, garantizando que el Estado de derecho pase de ser una narrativa retórica a una realidad fáctica para el ciudadano de a pie.</w:t>
      </w:r>
    </w:p>
    <w:p w14:paraId="49B1FD7F" w14:textId="77777777" w:rsidR="009254FD" w:rsidRPr="00884CAE" w:rsidRDefault="009254FD" w:rsidP="009254FD">
      <w:pPr>
        <w:rPr>
          <w:lang w:val="es-419"/>
        </w:rPr>
      </w:pPr>
    </w:p>
    <w:p w14:paraId="03E543DF" w14:textId="77777777" w:rsidR="00D44EBE" w:rsidRPr="00884CAE" w:rsidRDefault="00D44EBE" w:rsidP="00D44EBE">
      <w:pPr>
        <w:pStyle w:val="Heading5"/>
        <w:rPr>
          <w:lang w:val="es-419"/>
        </w:rPr>
      </w:pPr>
      <w:r w:rsidRPr="00884CAE">
        <w:rPr>
          <w:lang w:val="es-419"/>
        </w:rPr>
        <w:t>Conclusiones</w:t>
      </w:r>
    </w:p>
    <w:p w14:paraId="1FD7AABB" w14:textId="77777777" w:rsidR="00D44EBE" w:rsidRDefault="00D44EBE" w:rsidP="00D44EBE">
      <w:pPr>
        <w:rPr>
          <w:lang w:val="es-419"/>
        </w:rPr>
      </w:pPr>
      <w:r w:rsidRPr="00884CAE">
        <w:rPr>
          <w:lang w:val="es-419"/>
        </w:rPr>
        <w:t xml:space="preserve">En respuesta a la pregunta de investigación, se concluye que los mecanismos jurídicos vigentes son  </w:t>
      </w:r>
      <w:r w:rsidRPr="00884CAE">
        <w:rPr>
          <w:i/>
          <w:iCs/>
          <w:lang w:val="es-419"/>
        </w:rPr>
        <w:t>formalmente efectivos</w:t>
      </w:r>
      <w:r w:rsidRPr="00884CAE">
        <w:rPr>
          <w:lang w:val="es-419"/>
        </w:rPr>
        <w:t xml:space="preserve">  pero  </w:t>
      </w:r>
      <w:r w:rsidRPr="00884CAE">
        <w:rPr>
          <w:i/>
          <w:iCs/>
          <w:lang w:val="es-419"/>
        </w:rPr>
        <w:t>materialmente inoperantes</w:t>
      </w:r>
      <w:r w:rsidRPr="00884CAE">
        <w:rPr>
          <w:lang w:val="es-419"/>
        </w:rPr>
        <w:t xml:space="preserve">  para el ciudadano sin influencia en el Gran Santo Domingo. Mientras que la Constitución y las leyes administrativas ofrecen un catálogo exhaustivo de garantías, la "pena del proceso", la justicia selectiva y la ausencia de controles técnicos en las fuerzas de seguridad anulan la eficacia del sistema. El abuso de autoridad persiste no por falta de artículos, sino por una estructura que protege la apariencia de legalidad mientras tolera la arbitrariedad fáctica en la base de la pirámide social.</w:t>
      </w:r>
    </w:p>
    <w:p w14:paraId="0D696A07" w14:textId="55F579FE" w:rsidR="00D44EBE" w:rsidRDefault="00D44EBE" w:rsidP="00D44EBE">
      <w:pPr>
        <w:rPr>
          <w:lang w:val="es-419"/>
        </w:rPr>
      </w:pPr>
      <w:r w:rsidRPr="00884CAE">
        <w:rPr>
          <w:lang w:val="es-419"/>
        </w:rPr>
        <w:t>El aporte central de este trabajo radica en la identificación de la mediocridad sistémica y la falta de trazabilidad como los núcleos del fracaso institucional en materia de derechos fundamentales. Se ha demostrado que el debido proceso ha sido reducido a una formalidad burocrática que, en la práctica, protege al infractor mediante la dilación. Para recuperar la legitimidad institucional, es imperativo desmantelar la "falsa institucionalidad" y transitar hacia un modelo de gestión pública basado en la transparencia tecnológica y la responsabilidad objetiva, asegurando que la igualdad ante la ley sea un derecho exigible y no un privilegio condicionado por el poder o la influencia.</w:t>
      </w:r>
    </w:p>
    <w:p w14:paraId="4555E63B" w14:textId="77777777" w:rsidR="00D44EBE" w:rsidRDefault="00D44EBE">
      <w:pPr>
        <w:rPr>
          <w:lang w:val="es-419"/>
        </w:rPr>
      </w:pPr>
      <w:r>
        <w:rPr>
          <w:lang w:val="es-419"/>
        </w:rPr>
        <w:br w:type="page"/>
      </w:r>
    </w:p>
    <w:p w14:paraId="3BDCD94C" w14:textId="77777777" w:rsidR="00564D37" w:rsidRDefault="00564D37" w:rsidP="00564D37">
      <w:pPr>
        <w:pStyle w:val="Heading2"/>
        <w:rPr>
          <w:color w:val="000000" w:themeColor="text1"/>
          <w:lang w:val="es-419"/>
        </w:rPr>
      </w:pPr>
      <w:r>
        <w:rPr>
          <w:color w:val="000000" w:themeColor="text1"/>
          <w:lang w:val="es-419"/>
        </w:rPr>
        <w:lastRenderedPageBreak/>
        <w:t xml:space="preserve">Bibliografía </w:t>
      </w:r>
    </w:p>
    <w:p w14:paraId="5732299A" w14:textId="2289184C" w:rsidR="00564D37" w:rsidRPr="00564D37" w:rsidRDefault="00564D37" w:rsidP="00564D37">
      <w:pPr>
        <w:pStyle w:val="Heading2"/>
        <w:rPr>
          <w:color w:val="000000" w:themeColor="text1"/>
          <w:lang w:val="es-419"/>
        </w:rPr>
      </w:pPr>
      <w:r w:rsidRPr="00564D37">
        <w:rPr>
          <w:color w:val="000000" w:themeColor="text1"/>
          <w:lang w:val="es-419"/>
        </w:rPr>
        <w:t>I. Legislación</w:t>
      </w:r>
    </w:p>
    <w:p w14:paraId="3A72D961" w14:textId="77777777" w:rsidR="00564D37" w:rsidRPr="00564D37" w:rsidRDefault="00564D37" w:rsidP="00564D37">
      <w:pPr>
        <w:pStyle w:val="NormalWeb"/>
        <w:rPr>
          <w:color w:val="000000" w:themeColor="text1"/>
          <w:lang w:val="es-419"/>
        </w:rPr>
      </w:pPr>
      <w:r w:rsidRPr="00564D37">
        <w:rPr>
          <w:color w:val="000000" w:themeColor="text1"/>
          <w:lang w:val="es-419"/>
        </w:rPr>
        <w:t>República Dominicana.</w:t>
      </w:r>
      <w:r w:rsidRPr="00564D37">
        <w:rPr>
          <w:rStyle w:val="apple-converted-space"/>
          <w:color w:val="000000" w:themeColor="text1"/>
          <w:lang w:val="es-419"/>
        </w:rPr>
        <w:t> </w:t>
      </w:r>
      <w:r w:rsidRPr="00564D37">
        <w:rPr>
          <w:rStyle w:val="Emphasis"/>
          <w:color w:val="000000" w:themeColor="text1"/>
          <w:lang w:val="es-419"/>
        </w:rPr>
        <w:t>Constitución de la República Dominicana</w:t>
      </w:r>
      <w:r w:rsidRPr="00564D37">
        <w:rPr>
          <w:color w:val="000000" w:themeColor="text1"/>
          <w:lang w:val="es-419"/>
        </w:rPr>
        <w:t>. Proclamada el 13 de junio de 2015.</w:t>
      </w:r>
    </w:p>
    <w:p w14:paraId="630A2F4F" w14:textId="77777777" w:rsidR="00564D37" w:rsidRPr="00564D37" w:rsidRDefault="00564D37" w:rsidP="00564D37">
      <w:pPr>
        <w:pStyle w:val="NormalWeb"/>
        <w:rPr>
          <w:color w:val="000000" w:themeColor="text1"/>
          <w:lang w:val="es-419"/>
        </w:rPr>
      </w:pPr>
      <w:r w:rsidRPr="00564D37">
        <w:rPr>
          <w:color w:val="000000" w:themeColor="text1"/>
          <w:lang w:val="es-419"/>
        </w:rPr>
        <w:t>Congreso Nacional de la República Dominicana.</w:t>
      </w:r>
      <w:r w:rsidRPr="00564D37">
        <w:rPr>
          <w:rStyle w:val="apple-converted-space"/>
          <w:color w:val="000000" w:themeColor="text1"/>
          <w:lang w:val="es-419"/>
        </w:rPr>
        <w:t> </w:t>
      </w:r>
      <w:r w:rsidRPr="00564D37">
        <w:rPr>
          <w:rStyle w:val="Emphasis"/>
          <w:color w:val="000000" w:themeColor="text1"/>
          <w:lang w:val="es-419"/>
        </w:rPr>
        <w:t>Ley núm. 41-08 de Función Pública</w:t>
      </w:r>
      <w:r w:rsidRPr="00564D37">
        <w:rPr>
          <w:color w:val="000000" w:themeColor="text1"/>
          <w:lang w:val="es-419"/>
        </w:rPr>
        <w:t>. 4 de enero de 2008.</w:t>
      </w:r>
    </w:p>
    <w:p w14:paraId="18C5D812" w14:textId="77777777" w:rsidR="00564D37" w:rsidRPr="00564D37" w:rsidRDefault="00564D37" w:rsidP="00564D37">
      <w:pPr>
        <w:pStyle w:val="NormalWeb"/>
        <w:rPr>
          <w:color w:val="000000" w:themeColor="text1"/>
          <w:lang w:val="es-419"/>
        </w:rPr>
      </w:pPr>
      <w:r w:rsidRPr="00564D37">
        <w:rPr>
          <w:color w:val="000000" w:themeColor="text1"/>
          <w:lang w:val="es-419"/>
        </w:rPr>
        <w:t>Congreso Nacional de la República Dominicana.</w:t>
      </w:r>
      <w:r w:rsidRPr="00564D37">
        <w:rPr>
          <w:rStyle w:val="apple-converted-space"/>
          <w:color w:val="000000" w:themeColor="text1"/>
          <w:lang w:val="es-419"/>
        </w:rPr>
        <w:t> </w:t>
      </w:r>
      <w:r w:rsidRPr="00564D37">
        <w:rPr>
          <w:rStyle w:val="Emphasis"/>
          <w:color w:val="000000" w:themeColor="text1"/>
          <w:lang w:val="es-419"/>
        </w:rPr>
        <w:t>Ley núm. 247-12 Orgánica de la Administración Pública</w:t>
      </w:r>
      <w:r w:rsidRPr="00564D37">
        <w:rPr>
          <w:color w:val="000000" w:themeColor="text1"/>
          <w:lang w:val="es-419"/>
        </w:rPr>
        <w:t>. 9 de agosto de 2012.</w:t>
      </w:r>
    </w:p>
    <w:p w14:paraId="78FEF35E" w14:textId="77777777" w:rsidR="00564D37" w:rsidRPr="00564D37" w:rsidRDefault="00564D37" w:rsidP="00564D37">
      <w:pPr>
        <w:pStyle w:val="NormalWeb"/>
        <w:rPr>
          <w:color w:val="000000" w:themeColor="text1"/>
          <w:lang w:val="es-419"/>
        </w:rPr>
      </w:pPr>
      <w:r w:rsidRPr="00564D37">
        <w:rPr>
          <w:color w:val="000000" w:themeColor="text1"/>
          <w:lang w:val="es-419"/>
        </w:rPr>
        <w:t>Congreso Nacional de la República Dominicana.</w:t>
      </w:r>
      <w:r w:rsidRPr="00564D37">
        <w:rPr>
          <w:rStyle w:val="apple-converted-space"/>
          <w:color w:val="000000" w:themeColor="text1"/>
          <w:lang w:val="es-419"/>
        </w:rPr>
        <w:t> </w:t>
      </w:r>
      <w:r w:rsidRPr="00564D37">
        <w:rPr>
          <w:rStyle w:val="Emphasis"/>
          <w:color w:val="000000" w:themeColor="text1"/>
          <w:lang w:val="es-419"/>
        </w:rPr>
        <w:t>Ley núm. 107-13 sobre los Derechos de las Personas en sus Relaciones con la Administración y de Procedimiento Administrativo</w:t>
      </w:r>
      <w:r w:rsidRPr="00564D37">
        <w:rPr>
          <w:color w:val="000000" w:themeColor="text1"/>
          <w:lang w:val="es-419"/>
        </w:rPr>
        <w:t>. 6 de agosto de 2013.</w:t>
      </w:r>
    </w:p>
    <w:p w14:paraId="67CB4C44" w14:textId="77777777" w:rsidR="00564D37" w:rsidRPr="00564D37" w:rsidRDefault="00564D37" w:rsidP="00564D37">
      <w:pPr>
        <w:pStyle w:val="NormalWeb"/>
        <w:rPr>
          <w:color w:val="000000" w:themeColor="text1"/>
          <w:lang w:val="es-419"/>
        </w:rPr>
      </w:pPr>
      <w:r w:rsidRPr="00564D37">
        <w:rPr>
          <w:color w:val="000000" w:themeColor="text1"/>
          <w:lang w:val="es-419"/>
        </w:rPr>
        <w:t>Congreso Nacional de la República Dominicana.</w:t>
      </w:r>
      <w:r w:rsidRPr="00564D37">
        <w:rPr>
          <w:rStyle w:val="apple-converted-space"/>
          <w:color w:val="000000" w:themeColor="text1"/>
          <w:lang w:val="es-419"/>
        </w:rPr>
        <w:t> </w:t>
      </w:r>
      <w:r w:rsidRPr="00564D37">
        <w:rPr>
          <w:rStyle w:val="Emphasis"/>
          <w:color w:val="000000" w:themeColor="text1"/>
          <w:lang w:val="es-419"/>
        </w:rPr>
        <w:t>Ley núm. 172-13 sobre Protección Integral de los Datos Personales</w:t>
      </w:r>
      <w:r w:rsidRPr="00564D37">
        <w:rPr>
          <w:color w:val="000000" w:themeColor="text1"/>
          <w:lang w:val="es-419"/>
        </w:rPr>
        <w:t>. 13 de diciembre de 2013.</w:t>
      </w:r>
    </w:p>
    <w:p w14:paraId="7D39B4ED" w14:textId="77777777" w:rsidR="00564D37" w:rsidRPr="00564D37" w:rsidRDefault="00564D37" w:rsidP="00564D37">
      <w:pPr>
        <w:pStyle w:val="NormalWeb"/>
        <w:rPr>
          <w:color w:val="000000" w:themeColor="text1"/>
          <w:lang w:val="es-419"/>
        </w:rPr>
      </w:pPr>
      <w:r w:rsidRPr="00564D37">
        <w:rPr>
          <w:color w:val="000000" w:themeColor="text1"/>
          <w:lang w:val="es-419"/>
        </w:rPr>
        <w:t>Congreso Nacional de la República Dominicana.</w:t>
      </w:r>
      <w:r w:rsidRPr="00564D37">
        <w:rPr>
          <w:rStyle w:val="apple-converted-space"/>
          <w:color w:val="000000" w:themeColor="text1"/>
          <w:lang w:val="es-419"/>
        </w:rPr>
        <w:t> </w:t>
      </w:r>
      <w:r w:rsidRPr="00564D37">
        <w:rPr>
          <w:rStyle w:val="Emphasis"/>
          <w:color w:val="000000" w:themeColor="text1"/>
          <w:lang w:val="es-419"/>
        </w:rPr>
        <w:t>Ley núm. 590-16 Orgánica de la Policía Nacional</w:t>
      </w:r>
      <w:r w:rsidRPr="00564D37">
        <w:rPr>
          <w:color w:val="000000" w:themeColor="text1"/>
          <w:lang w:val="es-419"/>
        </w:rPr>
        <w:t>. 15 de julio de 2016.</w:t>
      </w:r>
    </w:p>
    <w:p w14:paraId="29DEDB57" w14:textId="77777777" w:rsidR="00564D37" w:rsidRPr="00564D37" w:rsidRDefault="00564D37" w:rsidP="00564D37">
      <w:pPr>
        <w:pStyle w:val="NormalWeb"/>
        <w:rPr>
          <w:color w:val="000000" w:themeColor="text1"/>
          <w:lang w:val="es-419"/>
        </w:rPr>
      </w:pPr>
      <w:r w:rsidRPr="00564D37">
        <w:rPr>
          <w:color w:val="000000" w:themeColor="text1"/>
          <w:lang w:val="es-419"/>
        </w:rPr>
        <w:t>Poder Ejecutivo de la República Dominicana.</w:t>
      </w:r>
      <w:r w:rsidRPr="00564D37">
        <w:rPr>
          <w:rStyle w:val="apple-converted-space"/>
          <w:color w:val="000000" w:themeColor="text1"/>
          <w:lang w:val="es-419"/>
        </w:rPr>
        <w:t> </w:t>
      </w:r>
      <w:r w:rsidRPr="00564D37">
        <w:rPr>
          <w:rStyle w:val="Emphasis"/>
          <w:color w:val="000000" w:themeColor="text1"/>
          <w:lang w:val="es-419"/>
        </w:rPr>
        <w:t>Código Penal de la República Dominicana</w:t>
      </w:r>
      <w:r w:rsidRPr="00564D37">
        <w:rPr>
          <w:color w:val="000000" w:themeColor="text1"/>
          <w:lang w:val="es-419"/>
        </w:rPr>
        <w:t>.</w:t>
      </w:r>
    </w:p>
    <w:p w14:paraId="65915A2A" w14:textId="4A29A5B0" w:rsidR="00564D37" w:rsidRPr="00564D37" w:rsidRDefault="00564D37" w:rsidP="00564D37">
      <w:pPr>
        <w:rPr>
          <w:color w:val="000000" w:themeColor="text1"/>
        </w:rPr>
      </w:pPr>
    </w:p>
    <w:p w14:paraId="143CFAFE" w14:textId="77777777" w:rsidR="00564D37" w:rsidRPr="00564D37" w:rsidRDefault="00564D37" w:rsidP="00564D37">
      <w:pPr>
        <w:pStyle w:val="Heading2"/>
        <w:rPr>
          <w:color w:val="000000" w:themeColor="text1"/>
          <w:lang w:val="es-419"/>
        </w:rPr>
      </w:pPr>
      <w:r w:rsidRPr="00564D37">
        <w:rPr>
          <w:color w:val="000000" w:themeColor="text1"/>
          <w:lang w:val="es-419"/>
        </w:rPr>
        <w:t>II. Jurisprudencia</w:t>
      </w:r>
    </w:p>
    <w:p w14:paraId="02758DD0" w14:textId="77777777" w:rsidR="00564D37" w:rsidRPr="00564D37" w:rsidRDefault="00564D37" w:rsidP="00564D37">
      <w:pPr>
        <w:pStyle w:val="NormalWeb"/>
        <w:rPr>
          <w:color w:val="000000" w:themeColor="text1"/>
          <w:lang w:val="es-419"/>
        </w:rPr>
      </w:pPr>
      <w:r w:rsidRPr="00564D37">
        <w:rPr>
          <w:color w:val="000000" w:themeColor="text1"/>
          <w:lang w:val="es-419"/>
        </w:rPr>
        <w:t>Tribunal Constitucional de la República Dominicana.</w:t>
      </w:r>
      <w:r w:rsidRPr="00564D37">
        <w:rPr>
          <w:rStyle w:val="apple-converted-space"/>
          <w:color w:val="000000" w:themeColor="text1"/>
          <w:lang w:val="es-419"/>
        </w:rPr>
        <w:t> </w:t>
      </w:r>
      <w:r w:rsidRPr="00564D37">
        <w:rPr>
          <w:rStyle w:val="Emphasis"/>
          <w:color w:val="000000" w:themeColor="text1"/>
          <w:lang w:val="es-419"/>
        </w:rPr>
        <w:t>Sentencia TC/0075/14</w:t>
      </w:r>
      <w:r w:rsidRPr="00564D37">
        <w:rPr>
          <w:color w:val="000000" w:themeColor="text1"/>
          <w:lang w:val="es-419"/>
        </w:rPr>
        <w:t>. 23 de abril de 2014.</w:t>
      </w:r>
    </w:p>
    <w:p w14:paraId="72CE0621" w14:textId="77777777" w:rsidR="00564D37" w:rsidRPr="00564D37" w:rsidRDefault="00564D37" w:rsidP="00564D37">
      <w:pPr>
        <w:pStyle w:val="NormalWeb"/>
        <w:rPr>
          <w:color w:val="000000" w:themeColor="text1"/>
          <w:lang w:val="es-419"/>
        </w:rPr>
      </w:pPr>
      <w:r w:rsidRPr="00564D37">
        <w:rPr>
          <w:color w:val="000000" w:themeColor="text1"/>
          <w:lang w:val="es-419"/>
        </w:rPr>
        <w:t>Tribunal Constitucional de la República Dominicana.</w:t>
      </w:r>
      <w:r w:rsidRPr="00564D37">
        <w:rPr>
          <w:rStyle w:val="apple-converted-space"/>
          <w:color w:val="000000" w:themeColor="text1"/>
          <w:lang w:val="es-419"/>
        </w:rPr>
        <w:t> </w:t>
      </w:r>
      <w:r w:rsidRPr="00564D37">
        <w:rPr>
          <w:rStyle w:val="Emphasis"/>
          <w:color w:val="000000" w:themeColor="text1"/>
          <w:lang w:val="es-419"/>
        </w:rPr>
        <w:t>Sentencia TC/0344/14</w:t>
      </w:r>
      <w:r w:rsidRPr="00564D37">
        <w:rPr>
          <w:color w:val="000000" w:themeColor="text1"/>
          <w:lang w:val="es-419"/>
        </w:rPr>
        <w:t>. 23 de diciembre de 2014.</w:t>
      </w:r>
    </w:p>
    <w:p w14:paraId="64CE0837" w14:textId="77777777" w:rsidR="00564D37" w:rsidRPr="00564D37" w:rsidRDefault="00564D37" w:rsidP="00564D37">
      <w:pPr>
        <w:pStyle w:val="NormalWeb"/>
        <w:rPr>
          <w:color w:val="000000" w:themeColor="text1"/>
          <w:lang w:val="es-419"/>
        </w:rPr>
      </w:pPr>
      <w:r w:rsidRPr="00564D37">
        <w:rPr>
          <w:color w:val="000000" w:themeColor="text1"/>
          <w:lang w:val="es-419"/>
        </w:rPr>
        <w:t>Tribunal Constitucional de la República Dominicana.</w:t>
      </w:r>
      <w:r w:rsidRPr="00564D37">
        <w:rPr>
          <w:rStyle w:val="apple-converted-space"/>
          <w:color w:val="000000" w:themeColor="text1"/>
          <w:lang w:val="es-419"/>
        </w:rPr>
        <w:t> </w:t>
      </w:r>
      <w:r w:rsidRPr="00564D37">
        <w:rPr>
          <w:rStyle w:val="Emphasis"/>
          <w:color w:val="000000" w:themeColor="text1"/>
          <w:lang w:val="es-419"/>
        </w:rPr>
        <w:t>Sentencia TC/0388/15</w:t>
      </w:r>
      <w:r w:rsidRPr="00564D37">
        <w:rPr>
          <w:color w:val="000000" w:themeColor="text1"/>
          <w:lang w:val="es-419"/>
        </w:rPr>
        <w:t>. 16 de octubre de 2015.</w:t>
      </w:r>
    </w:p>
    <w:p w14:paraId="4F1E09DC" w14:textId="77777777" w:rsidR="00564D37" w:rsidRPr="00564D37" w:rsidRDefault="00564D37" w:rsidP="00564D37">
      <w:pPr>
        <w:pStyle w:val="NormalWeb"/>
        <w:rPr>
          <w:color w:val="000000" w:themeColor="text1"/>
          <w:lang w:val="es-419"/>
        </w:rPr>
      </w:pPr>
      <w:r w:rsidRPr="00564D37">
        <w:rPr>
          <w:color w:val="000000" w:themeColor="text1"/>
          <w:lang w:val="es-419"/>
        </w:rPr>
        <w:t>Tribunal Constitucional de la República Dominicana.</w:t>
      </w:r>
      <w:r w:rsidRPr="00564D37">
        <w:rPr>
          <w:rStyle w:val="apple-converted-space"/>
          <w:color w:val="000000" w:themeColor="text1"/>
          <w:lang w:val="es-419"/>
        </w:rPr>
        <w:t> </w:t>
      </w:r>
      <w:r w:rsidRPr="00564D37">
        <w:rPr>
          <w:rStyle w:val="Emphasis"/>
          <w:color w:val="000000" w:themeColor="text1"/>
          <w:lang w:val="es-419"/>
        </w:rPr>
        <w:t>Sentencia TC/0484/16</w:t>
      </w:r>
      <w:r w:rsidRPr="00564D37">
        <w:rPr>
          <w:color w:val="000000" w:themeColor="text1"/>
          <w:lang w:val="es-419"/>
        </w:rPr>
        <w:t>. 18 de octubre de 2016.</w:t>
      </w:r>
    </w:p>
    <w:p w14:paraId="4E6D1BA1" w14:textId="77777777" w:rsidR="00564D37" w:rsidRPr="00564D37" w:rsidRDefault="00564D37" w:rsidP="00564D37">
      <w:pPr>
        <w:pStyle w:val="NormalWeb"/>
        <w:rPr>
          <w:color w:val="000000" w:themeColor="text1"/>
          <w:lang w:val="es-419"/>
        </w:rPr>
      </w:pPr>
      <w:r w:rsidRPr="00564D37">
        <w:rPr>
          <w:color w:val="000000" w:themeColor="text1"/>
          <w:lang w:val="es-419"/>
        </w:rPr>
        <w:t>Tribunal Constitucional de la República Dominicana.</w:t>
      </w:r>
      <w:r w:rsidRPr="00564D37">
        <w:rPr>
          <w:rStyle w:val="apple-converted-space"/>
          <w:color w:val="000000" w:themeColor="text1"/>
          <w:lang w:val="es-419"/>
        </w:rPr>
        <w:t> </w:t>
      </w:r>
      <w:r w:rsidRPr="00564D37">
        <w:rPr>
          <w:rStyle w:val="Emphasis"/>
          <w:color w:val="000000" w:themeColor="text1"/>
          <w:lang w:val="es-419"/>
        </w:rPr>
        <w:t>Sentencia TC/0141/23</w:t>
      </w:r>
      <w:r w:rsidRPr="00564D37">
        <w:rPr>
          <w:color w:val="000000" w:themeColor="text1"/>
          <w:lang w:val="es-419"/>
        </w:rPr>
        <w:t>. 29 de marzo de 2023.</w:t>
      </w:r>
    </w:p>
    <w:p w14:paraId="4AC9E01B" w14:textId="3AC62B74" w:rsidR="00564D37" w:rsidRPr="00564D37" w:rsidRDefault="00564D37" w:rsidP="00564D37">
      <w:pPr>
        <w:rPr>
          <w:color w:val="000000" w:themeColor="text1"/>
        </w:rPr>
      </w:pPr>
    </w:p>
    <w:p w14:paraId="3DA745DF" w14:textId="77777777" w:rsidR="00564D37" w:rsidRPr="00564D37" w:rsidRDefault="00564D37" w:rsidP="00564D37">
      <w:pPr>
        <w:pStyle w:val="Heading2"/>
        <w:rPr>
          <w:color w:val="000000" w:themeColor="text1"/>
          <w:lang w:val="es-419"/>
        </w:rPr>
      </w:pPr>
      <w:r w:rsidRPr="00564D37">
        <w:rPr>
          <w:color w:val="000000" w:themeColor="text1"/>
          <w:lang w:val="es-419"/>
        </w:rPr>
        <w:lastRenderedPageBreak/>
        <w:t>III. Doctrina</w:t>
      </w:r>
    </w:p>
    <w:p w14:paraId="55306296" w14:textId="77777777" w:rsidR="00564D37" w:rsidRPr="00564D37" w:rsidRDefault="00564D37" w:rsidP="00564D37">
      <w:pPr>
        <w:pStyle w:val="NormalWeb"/>
        <w:rPr>
          <w:color w:val="000000" w:themeColor="text1"/>
          <w:lang w:val="es-419"/>
        </w:rPr>
      </w:pPr>
      <w:r w:rsidRPr="00564D37">
        <w:rPr>
          <w:color w:val="000000" w:themeColor="text1"/>
          <w:lang w:val="es-419"/>
        </w:rPr>
        <w:t>Batista, Nolberto. “Cuando la justicia es una amenaza: el impacto del abuso de poder en República Dominicana.”</w:t>
      </w:r>
      <w:r w:rsidRPr="00564D37">
        <w:rPr>
          <w:rStyle w:val="apple-converted-space"/>
          <w:color w:val="000000" w:themeColor="text1"/>
          <w:lang w:val="es-419"/>
        </w:rPr>
        <w:t> </w:t>
      </w:r>
      <w:r w:rsidRPr="00564D37">
        <w:rPr>
          <w:rStyle w:val="Emphasis"/>
          <w:color w:val="000000" w:themeColor="text1"/>
          <w:lang w:val="es-419"/>
        </w:rPr>
        <w:t>El Día</w:t>
      </w:r>
      <w:r w:rsidRPr="00564D37">
        <w:rPr>
          <w:color w:val="000000" w:themeColor="text1"/>
          <w:lang w:val="es-419"/>
        </w:rPr>
        <w:t>, 2 de marzo de 2026.</w:t>
      </w:r>
    </w:p>
    <w:p w14:paraId="3C4307E2" w14:textId="77777777" w:rsidR="00564D37" w:rsidRPr="00564D37" w:rsidRDefault="00564D37" w:rsidP="00564D37">
      <w:pPr>
        <w:pStyle w:val="NormalWeb"/>
        <w:rPr>
          <w:color w:val="000000" w:themeColor="text1"/>
          <w:lang w:val="es-419"/>
        </w:rPr>
      </w:pPr>
      <w:r w:rsidRPr="00564D37">
        <w:rPr>
          <w:color w:val="000000" w:themeColor="text1"/>
          <w:lang w:val="es-419"/>
        </w:rPr>
        <w:t>Durán Reyes, Freddy Thomas.</w:t>
      </w:r>
      <w:r w:rsidRPr="00564D37">
        <w:rPr>
          <w:rStyle w:val="apple-converted-space"/>
          <w:color w:val="000000" w:themeColor="text1"/>
          <w:lang w:val="es-419"/>
        </w:rPr>
        <w:t> </w:t>
      </w:r>
      <w:r w:rsidRPr="00564D37">
        <w:rPr>
          <w:rStyle w:val="Emphasis"/>
          <w:color w:val="000000" w:themeColor="text1"/>
          <w:lang w:val="es-419"/>
        </w:rPr>
        <w:t>Investigaciones sobre protección de datos personales y hábeas data</w:t>
      </w:r>
      <w:r w:rsidRPr="00564D37">
        <w:rPr>
          <w:color w:val="000000" w:themeColor="text1"/>
          <w:lang w:val="es-419"/>
        </w:rPr>
        <w:t>.</w:t>
      </w:r>
    </w:p>
    <w:p w14:paraId="72923873" w14:textId="77777777" w:rsidR="00564D37" w:rsidRPr="00564D37" w:rsidRDefault="00564D37" w:rsidP="00564D37">
      <w:pPr>
        <w:pStyle w:val="NormalWeb"/>
        <w:rPr>
          <w:color w:val="000000" w:themeColor="text1"/>
          <w:lang w:val="es-419"/>
        </w:rPr>
      </w:pPr>
      <w:r w:rsidRPr="00564D37">
        <w:rPr>
          <w:color w:val="000000" w:themeColor="text1"/>
          <w:lang w:val="es-419"/>
        </w:rPr>
        <w:t>García Aybar, Emely.</w:t>
      </w:r>
      <w:r w:rsidRPr="00564D37">
        <w:rPr>
          <w:rStyle w:val="apple-converted-space"/>
          <w:color w:val="000000" w:themeColor="text1"/>
          <w:lang w:val="es-419"/>
        </w:rPr>
        <w:t> </w:t>
      </w:r>
      <w:r w:rsidRPr="00564D37">
        <w:rPr>
          <w:rStyle w:val="Emphasis"/>
          <w:color w:val="000000" w:themeColor="text1"/>
          <w:lang w:val="es-419"/>
        </w:rPr>
        <w:t>La legislación dominicana sobre protección de datos personales: principios, consentimiento y el proceso de hábeas data</w:t>
      </w:r>
      <w:r w:rsidRPr="00564D37">
        <w:rPr>
          <w:color w:val="000000" w:themeColor="text1"/>
          <w:lang w:val="es-419"/>
        </w:rPr>
        <w:t>.</w:t>
      </w:r>
    </w:p>
    <w:p w14:paraId="6E8C7B53" w14:textId="77777777" w:rsidR="00564D37" w:rsidRPr="00564D37" w:rsidRDefault="00564D37" w:rsidP="00564D37">
      <w:pPr>
        <w:pStyle w:val="NormalWeb"/>
        <w:rPr>
          <w:color w:val="000000" w:themeColor="text1"/>
          <w:lang w:val="es-419"/>
        </w:rPr>
      </w:pPr>
      <w:r w:rsidRPr="00564D37">
        <w:rPr>
          <w:color w:val="000000" w:themeColor="text1"/>
          <w:lang w:val="es-419"/>
        </w:rPr>
        <w:t>Montero, Gregorio. “El derecho a la defensa de los ciudadanos frente a la administración pública también existe.” Instituto Nacional de Administración Pública (INAP), 7 de enero de 2025.</w:t>
      </w:r>
    </w:p>
    <w:p w14:paraId="1E64208E" w14:textId="77777777" w:rsidR="00564D37" w:rsidRPr="00564D37" w:rsidRDefault="00564D37" w:rsidP="00564D37">
      <w:pPr>
        <w:pStyle w:val="NormalWeb"/>
        <w:rPr>
          <w:color w:val="000000" w:themeColor="text1"/>
          <w:lang w:val="es-419"/>
        </w:rPr>
      </w:pPr>
      <w:r w:rsidRPr="00564D37">
        <w:rPr>
          <w:color w:val="000000" w:themeColor="text1"/>
          <w:lang w:val="es-419"/>
        </w:rPr>
        <w:t>Montero, Justiniano. “Los sistemas de justicia deben adoptar medidas sobre el abuso de la inhibición por los integrantes de la judicatura.” Poder Judicial de la República Dominicana, 18 de septiembre de 2023.</w:t>
      </w:r>
    </w:p>
    <w:p w14:paraId="0241B5BE" w14:textId="77777777" w:rsidR="00564D37" w:rsidRPr="00564D37" w:rsidRDefault="00564D37" w:rsidP="00564D37">
      <w:pPr>
        <w:pStyle w:val="NormalWeb"/>
        <w:rPr>
          <w:color w:val="000000" w:themeColor="text1"/>
          <w:lang w:val="es-419"/>
        </w:rPr>
      </w:pPr>
      <w:r w:rsidRPr="00564D37">
        <w:rPr>
          <w:color w:val="000000" w:themeColor="text1"/>
          <w:lang w:val="es-419"/>
        </w:rPr>
        <w:t>Montero, Justiniano.</w:t>
      </w:r>
      <w:r w:rsidRPr="00564D37">
        <w:rPr>
          <w:rStyle w:val="apple-converted-space"/>
          <w:color w:val="000000" w:themeColor="text1"/>
          <w:lang w:val="es-419"/>
        </w:rPr>
        <w:t> </w:t>
      </w:r>
      <w:r w:rsidRPr="00564D37">
        <w:rPr>
          <w:rStyle w:val="Emphasis"/>
          <w:color w:val="000000" w:themeColor="text1"/>
          <w:lang w:val="es-419"/>
        </w:rPr>
        <w:t>Las inhibiciones judiciales y la tutela judicial efectiva</w:t>
      </w:r>
      <w:r w:rsidRPr="00564D37">
        <w:rPr>
          <w:color w:val="000000" w:themeColor="text1"/>
          <w:lang w:val="es-419"/>
        </w:rPr>
        <w:t>. Santo Domingo, República Dominicana.</w:t>
      </w:r>
    </w:p>
    <w:p w14:paraId="2DE5D872" w14:textId="77777777" w:rsidR="00564D37" w:rsidRPr="00564D37" w:rsidRDefault="00564D37" w:rsidP="00564D37">
      <w:pPr>
        <w:pStyle w:val="NormalWeb"/>
        <w:rPr>
          <w:color w:val="000000" w:themeColor="text1"/>
        </w:rPr>
      </w:pPr>
      <w:r w:rsidRPr="00564D37">
        <w:rPr>
          <w:color w:val="000000" w:themeColor="text1"/>
          <w:lang w:val="es-419"/>
        </w:rPr>
        <w:t>Padilla, Julián. “Falsa institucionalidad, abuso de poder y justicia social.”</w:t>
      </w:r>
      <w:r w:rsidRPr="00564D37">
        <w:rPr>
          <w:rStyle w:val="apple-converted-space"/>
          <w:color w:val="000000" w:themeColor="text1"/>
          <w:lang w:val="es-419"/>
        </w:rPr>
        <w:t> </w:t>
      </w:r>
      <w:r w:rsidRPr="00564D37">
        <w:rPr>
          <w:rStyle w:val="Emphasis"/>
          <w:color w:val="000000" w:themeColor="text1"/>
        </w:rPr>
        <w:t>El Nuevo Diario</w:t>
      </w:r>
      <w:r w:rsidRPr="00564D37">
        <w:rPr>
          <w:color w:val="000000" w:themeColor="text1"/>
        </w:rPr>
        <w:t>, 22 de septiembre de 2023.</w:t>
      </w:r>
    </w:p>
    <w:p w14:paraId="65AD5D83" w14:textId="77777777" w:rsidR="00564D37" w:rsidRPr="00564D37" w:rsidRDefault="00D92C03" w:rsidP="00564D37">
      <w:pPr>
        <w:rPr>
          <w:color w:val="000000" w:themeColor="text1"/>
        </w:rPr>
      </w:pPr>
      <w:r>
        <w:rPr>
          <w:noProof/>
        </w:rPr>
      </w:r>
      <w:r>
        <w:pict w14:anchorId="21688BD4">
          <v:rect id="Horizontal Lin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6E9621A" w14:textId="77777777" w:rsidR="00564D37" w:rsidRPr="00564D37" w:rsidRDefault="00564D37" w:rsidP="00564D37">
      <w:pPr>
        <w:pStyle w:val="Heading2"/>
        <w:rPr>
          <w:color w:val="000000" w:themeColor="text1"/>
          <w:lang w:val="es-419"/>
        </w:rPr>
      </w:pPr>
      <w:r w:rsidRPr="00564D37">
        <w:rPr>
          <w:color w:val="000000" w:themeColor="text1"/>
          <w:lang w:val="es-419"/>
        </w:rPr>
        <w:t>IV. Prensa y casos</w:t>
      </w:r>
    </w:p>
    <w:p w14:paraId="02654E6C" w14:textId="77777777" w:rsidR="00564D37" w:rsidRPr="00564D37" w:rsidRDefault="00564D37" w:rsidP="00564D37">
      <w:pPr>
        <w:pStyle w:val="NormalWeb"/>
        <w:rPr>
          <w:color w:val="000000" w:themeColor="text1"/>
          <w:lang w:val="es-419"/>
        </w:rPr>
      </w:pPr>
      <w:r w:rsidRPr="00564D37">
        <w:rPr>
          <w:color w:val="000000" w:themeColor="text1"/>
          <w:lang w:val="es-419"/>
        </w:rPr>
        <w:t>Aybar, Ana. “Joven que fue golpeada por el coronel Madé en Los Mina se querella en su contra y la Policía.”</w:t>
      </w:r>
      <w:r w:rsidRPr="00564D37">
        <w:rPr>
          <w:rStyle w:val="apple-converted-space"/>
          <w:color w:val="000000" w:themeColor="text1"/>
          <w:lang w:val="es-419"/>
        </w:rPr>
        <w:t> </w:t>
      </w:r>
      <w:r w:rsidRPr="00564D37">
        <w:rPr>
          <w:rStyle w:val="Emphasis"/>
          <w:color w:val="000000" w:themeColor="text1"/>
          <w:lang w:val="es-419"/>
        </w:rPr>
        <w:t>Diario Libre</w:t>
      </w:r>
      <w:r w:rsidRPr="00564D37">
        <w:rPr>
          <w:color w:val="000000" w:themeColor="text1"/>
          <w:lang w:val="es-419"/>
        </w:rPr>
        <w:t>, 1 de abril de 2026.</w:t>
      </w:r>
    </w:p>
    <w:p w14:paraId="037E49F3" w14:textId="77777777" w:rsidR="00564D37" w:rsidRPr="00564D37" w:rsidRDefault="00564D37" w:rsidP="00564D37">
      <w:pPr>
        <w:pStyle w:val="NormalWeb"/>
        <w:rPr>
          <w:color w:val="000000" w:themeColor="text1"/>
          <w:lang w:val="es-419"/>
        </w:rPr>
      </w:pPr>
      <w:r w:rsidRPr="00564D37">
        <w:rPr>
          <w:color w:val="000000" w:themeColor="text1"/>
          <w:lang w:val="es-419"/>
        </w:rPr>
        <w:t>CDN. “Juicio de fondo a militares y policías acusados en Operación Coral.” 2024.</w:t>
      </w:r>
    </w:p>
    <w:p w14:paraId="1EE7920C" w14:textId="77777777" w:rsidR="00564D37" w:rsidRDefault="00564D37" w:rsidP="00564D37">
      <w:pPr>
        <w:pStyle w:val="NormalWeb"/>
        <w:rPr>
          <w:color w:val="000000" w:themeColor="text1"/>
        </w:rPr>
      </w:pPr>
      <w:r w:rsidRPr="00564D37">
        <w:rPr>
          <w:color w:val="000000" w:themeColor="text1"/>
          <w:lang w:val="es-419"/>
        </w:rPr>
        <w:t>Santana, Wander. “Pepca acusa de corrupción a 30 personas y 18 empresas en casos Coral y Coral 5G.”</w:t>
      </w:r>
      <w:r w:rsidRPr="00564D37">
        <w:rPr>
          <w:rStyle w:val="apple-converted-space"/>
          <w:color w:val="000000" w:themeColor="text1"/>
          <w:lang w:val="es-419"/>
        </w:rPr>
        <w:t> </w:t>
      </w:r>
      <w:r w:rsidRPr="00564D37">
        <w:rPr>
          <w:rStyle w:val="Emphasis"/>
          <w:color w:val="000000" w:themeColor="text1"/>
        </w:rPr>
        <w:t>Diario Libre</w:t>
      </w:r>
      <w:r w:rsidRPr="00564D37">
        <w:rPr>
          <w:color w:val="000000" w:themeColor="text1"/>
        </w:rPr>
        <w:t>, 4 de mayo de 2022.</w:t>
      </w:r>
    </w:p>
    <w:p w14:paraId="6C91B7FD" w14:textId="77777777" w:rsidR="00602460" w:rsidRDefault="00602460" w:rsidP="00564D37">
      <w:pPr>
        <w:pStyle w:val="NormalWeb"/>
        <w:rPr>
          <w:color w:val="000000" w:themeColor="text1"/>
        </w:rPr>
      </w:pPr>
    </w:p>
    <w:p w14:paraId="1C33B293" w14:textId="77777777" w:rsidR="00602460" w:rsidRPr="00602460" w:rsidRDefault="00602460" w:rsidP="00602460">
      <w:pPr>
        <w:spacing w:before="1"/>
        <w:ind w:left="57"/>
        <w:rPr>
          <w:b/>
          <w:sz w:val="20"/>
          <w:lang w:val="es-419"/>
        </w:rPr>
      </w:pPr>
      <w:r w:rsidRPr="00602460">
        <w:rPr>
          <w:b/>
          <w:color w:val="C61C1B"/>
          <w:sz w:val="20"/>
          <w:lang w:val="es-419"/>
        </w:rPr>
        <w:t>Declaración</w:t>
      </w:r>
      <w:r w:rsidRPr="00602460">
        <w:rPr>
          <w:b/>
          <w:color w:val="C61C1B"/>
          <w:spacing w:val="-6"/>
          <w:sz w:val="20"/>
          <w:lang w:val="es-419"/>
        </w:rPr>
        <w:t xml:space="preserve"> </w:t>
      </w:r>
      <w:r w:rsidRPr="00602460">
        <w:rPr>
          <w:b/>
          <w:color w:val="C61C1B"/>
          <w:sz w:val="20"/>
          <w:lang w:val="es-419"/>
        </w:rPr>
        <w:t>sobre</w:t>
      </w:r>
      <w:r w:rsidRPr="00602460">
        <w:rPr>
          <w:b/>
          <w:color w:val="C61C1B"/>
          <w:spacing w:val="-5"/>
          <w:sz w:val="20"/>
          <w:lang w:val="es-419"/>
        </w:rPr>
        <w:t xml:space="preserve"> </w:t>
      </w:r>
      <w:r w:rsidRPr="00602460">
        <w:rPr>
          <w:b/>
          <w:color w:val="C61C1B"/>
          <w:sz w:val="20"/>
          <w:lang w:val="es-419"/>
        </w:rPr>
        <w:t>el</w:t>
      </w:r>
      <w:r w:rsidRPr="00602460">
        <w:rPr>
          <w:b/>
          <w:color w:val="C61C1B"/>
          <w:spacing w:val="-4"/>
          <w:sz w:val="20"/>
          <w:lang w:val="es-419"/>
        </w:rPr>
        <w:t xml:space="preserve"> </w:t>
      </w:r>
      <w:r w:rsidRPr="00602460">
        <w:rPr>
          <w:b/>
          <w:color w:val="C61C1B"/>
          <w:sz w:val="20"/>
          <w:lang w:val="es-419"/>
        </w:rPr>
        <w:t>uso</w:t>
      </w:r>
      <w:r w:rsidRPr="00602460">
        <w:rPr>
          <w:b/>
          <w:color w:val="C61C1B"/>
          <w:spacing w:val="-5"/>
          <w:sz w:val="20"/>
          <w:lang w:val="es-419"/>
        </w:rPr>
        <w:t xml:space="preserve"> </w:t>
      </w:r>
      <w:r w:rsidRPr="00602460">
        <w:rPr>
          <w:b/>
          <w:color w:val="C61C1B"/>
          <w:sz w:val="20"/>
          <w:lang w:val="es-419"/>
        </w:rPr>
        <w:t>de</w:t>
      </w:r>
      <w:r w:rsidRPr="00602460">
        <w:rPr>
          <w:b/>
          <w:color w:val="C61C1B"/>
          <w:spacing w:val="-5"/>
          <w:sz w:val="20"/>
          <w:lang w:val="es-419"/>
        </w:rPr>
        <w:t xml:space="preserve"> </w:t>
      </w:r>
      <w:r w:rsidRPr="00602460">
        <w:rPr>
          <w:b/>
          <w:color w:val="C61C1B"/>
          <w:sz w:val="20"/>
          <w:lang w:val="es-419"/>
        </w:rPr>
        <w:t>inteligencia</w:t>
      </w:r>
      <w:r w:rsidRPr="00602460">
        <w:rPr>
          <w:b/>
          <w:color w:val="C61C1B"/>
          <w:spacing w:val="-5"/>
          <w:sz w:val="20"/>
          <w:lang w:val="es-419"/>
        </w:rPr>
        <w:t xml:space="preserve"> </w:t>
      </w:r>
      <w:r w:rsidRPr="00602460">
        <w:rPr>
          <w:b/>
          <w:color w:val="C61C1B"/>
          <w:spacing w:val="-2"/>
          <w:sz w:val="20"/>
          <w:lang w:val="es-419"/>
        </w:rPr>
        <w:t>artificial</w:t>
      </w:r>
    </w:p>
    <w:p w14:paraId="78AAFF4C" w14:textId="2B062643" w:rsidR="00170611" w:rsidRPr="00602460" w:rsidRDefault="00602460" w:rsidP="00602460">
      <w:pPr>
        <w:spacing w:before="40" w:line="280" w:lineRule="auto"/>
        <w:ind w:left="57" w:right="2390"/>
        <w:rPr>
          <w:sz w:val="20"/>
          <w:lang w:val="es-419"/>
        </w:rPr>
      </w:pPr>
      <w:r w:rsidRPr="00602460">
        <w:rPr>
          <w:sz w:val="20"/>
          <w:lang w:val="es-419"/>
        </w:rPr>
        <w:t>Para la elaboración de este trabajo se utilizaron herramientas de inteligencia artificial, específicamente</w:t>
      </w:r>
      <w:r w:rsidRPr="00602460">
        <w:rPr>
          <w:spacing w:val="-4"/>
          <w:sz w:val="20"/>
          <w:lang w:val="es-419"/>
        </w:rPr>
        <w:t xml:space="preserve"> </w:t>
      </w:r>
      <w:r w:rsidRPr="00602460">
        <w:rPr>
          <w:sz w:val="20"/>
          <w:lang w:val="es-419"/>
        </w:rPr>
        <w:t>ChatGPT</w:t>
      </w:r>
      <w:r w:rsidRPr="00602460">
        <w:rPr>
          <w:spacing w:val="-7"/>
          <w:sz w:val="20"/>
          <w:lang w:val="es-419"/>
        </w:rPr>
        <w:t xml:space="preserve"> </w:t>
      </w:r>
      <w:r w:rsidRPr="00602460">
        <w:rPr>
          <w:sz w:val="20"/>
          <w:lang w:val="es-419"/>
        </w:rPr>
        <w:t>y</w:t>
      </w:r>
      <w:r w:rsidRPr="00602460">
        <w:rPr>
          <w:spacing w:val="-4"/>
          <w:sz w:val="20"/>
          <w:lang w:val="es-419"/>
        </w:rPr>
        <w:t xml:space="preserve"> </w:t>
      </w:r>
      <w:r w:rsidRPr="00602460">
        <w:rPr>
          <w:sz w:val="20"/>
          <w:lang w:val="es-419"/>
        </w:rPr>
        <w:t>NotebookLM,</w:t>
      </w:r>
      <w:r w:rsidRPr="00602460">
        <w:rPr>
          <w:spacing w:val="-3"/>
          <w:sz w:val="20"/>
          <w:lang w:val="es-419"/>
        </w:rPr>
        <w:t xml:space="preserve"> </w:t>
      </w:r>
      <w:r w:rsidRPr="00602460">
        <w:rPr>
          <w:sz w:val="20"/>
          <w:lang w:val="es-419"/>
        </w:rPr>
        <w:t>como</w:t>
      </w:r>
      <w:r w:rsidRPr="00602460">
        <w:rPr>
          <w:spacing w:val="-4"/>
          <w:sz w:val="20"/>
          <w:lang w:val="es-419"/>
        </w:rPr>
        <w:t xml:space="preserve"> </w:t>
      </w:r>
      <w:r w:rsidRPr="00602460">
        <w:rPr>
          <w:sz w:val="20"/>
          <w:lang w:val="es-419"/>
        </w:rPr>
        <w:t>apoyo</w:t>
      </w:r>
      <w:r w:rsidRPr="00602460">
        <w:rPr>
          <w:spacing w:val="-4"/>
          <w:sz w:val="20"/>
          <w:lang w:val="es-419"/>
        </w:rPr>
        <w:t xml:space="preserve"> </w:t>
      </w:r>
      <w:r w:rsidRPr="00602460">
        <w:rPr>
          <w:sz w:val="20"/>
          <w:lang w:val="es-419"/>
        </w:rPr>
        <w:t>en</w:t>
      </w:r>
      <w:r w:rsidRPr="00602460">
        <w:rPr>
          <w:spacing w:val="-4"/>
          <w:sz w:val="20"/>
          <w:lang w:val="es-419"/>
        </w:rPr>
        <w:t xml:space="preserve"> </w:t>
      </w:r>
      <w:r w:rsidRPr="00602460">
        <w:rPr>
          <w:sz w:val="20"/>
          <w:lang w:val="es-419"/>
        </w:rPr>
        <w:t>la</w:t>
      </w:r>
      <w:r w:rsidRPr="00602460">
        <w:rPr>
          <w:spacing w:val="-4"/>
          <w:sz w:val="20"/>
          <w:lang w:val="es-419"/>
        </w:rPr>
        <w:t xml:space="preserve"> </w:t>
      </w:r>
      <w:r w:rsidRPr="00602460">
        <w:rPr>
          <w:sz w:val="20"/>
          <w:lang w:val="es-419"/>
        </w:rPr>
        <w:t>organización</w:t>
      </w:r>
      <w:r w:rsidRPr="00602460">
        <w:rPr>
          <w:spacing w:val="-4"/>
          <w:sz w:val="20"/>
          <w:lang w:val="es-419"/>
        </w:rPr>
        <w:t xml:space="preserve"> </w:t>
      </w:r>
      <w:r w:rsidRPr="00602460">
        <w:rPr>
          <w:sz w:val="20"/>
          <w:lang w:val="es-419"/>
        </w:rPr>
        <w:t>de</w:t>
      </w:r>
      <w:r w:rsidRPr="00602460">
        <w:rPr>
          <w:spacing w:val="-4"/>
          <w:sz w:val="20"/>
          <w:lang w:val="es-419"/>
        </w:rPr>
        <w:t xml:space="preserve"> </w:t>
      </w:r>
      <w:r w:rsidRPr="00602460">
        <w:rPr>
          <w:sz w:val="20"/>
          <w:lang w:val="es-419"/>
        </w:rPr>
        <w:t>los</w:t>
      </w:r>
      <w:r w:rsidRPr="00602460">
        <w:rPr>
          <w:spacing w:val="-4"/>
          <w:sz w:val="20"/>
          <w:lang w:val="es-419"/>
        </w:rPr>
        <w:t xml:space="preserve"> </w:t>
      </w:r>
      <w:r w:rsidRPr="00602460">
        <w:rPr>
          <w:sz w:val="20"/>
          <w:lang w:val="es-419"/>
        </w:rPr>
        <w:t>párrafos, la mejora de la redacción y la organización de la bibliografía. Estas herramientas no sustituyeron el análisis, la selección de fuentes ni las concl</w:t>
      </w:r>
      <w:r>
        <w:rPr>
          <w:sz w:val="20"/>
          <w:lang w:val="es-419"/>
        </w:rPr>
        <w:t>usiones.</w:t>
      </w:r>
    </w:p>
    <w:sectPr w:rsidR="00170611" w:rsidRPr="006024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559C69" w14:textId="77777777" w:rsidR="00D92C03" w:rsidRDefault="00D92C03" w:rsidP="00170611">
      <w:pPr>
        <w:spacing w:after="0" w:line="240" w:lineRule="auto"/>
      </w:pPr>
      <w:r>
        <w:separator/>
      </w:r>
    </w:p>
  </w:endnote>
  <w:endnote w:type="continuationSeparator" w:id="0">
    <w:p w14:paraId="15AC850C" w14:textId="77777777" w:rsidR="00D92C03" w:rsidRDefault="00D92C03" w:rsidP="001706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oogle Sans Text">
    <w:altName w:val="Cambria"/>
    <w:panose1 w:val="020B0604020202020204"/>
    <w:charset w:val="00"/>
    <w:family w:val="roman"/>
    <w:notTrueType/>
    <w:pitch w:val="default"/>
  </w:font>
  <w:font w:name="-webkit-standard">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8F1CDA" w14:textId="77777777" w:rsidR="00D92C03" w:rsidRDefault="00D92C03" w:rsidP="00170611">
      <w:pPr>
        <w:spacing w:after="0" w:line="240" w:lineRule="auto"/>
      </w:pPr>
      <w:r>
        <w:separator/>
      </w:r>
    </w:p>
  </w:footnote>
  <w:footnote w:type="continuationSeparator" w:id="0">
    <w:p w14:paraId="43AF1FD5" w14:textId="77777777" w:rsidR="00D92C03" w:rsidRDefault="00D92C03" w:rsidP="00170611">
      <w:pPr>
        <w:spacing w:after="0" w:line="240" w:lineRule="auto"/>
      </w:pPr>
      <w:r>
        <w:continuationSeparator/>
      </w:r>
    </w:p>
  </w:footnote>
  <w:footnote w:id="1">
    <w:p w14:paraId="255E356B" w14:textId="2065E26A" w:rsidR="00170611" w:rsidRPr="00C6164B" w:rsidRDefault="00170611">
      <w:pPr>
        <w:pStyle w:val="FootnoteText"/>
        <w:rPr>
          <w:color w:val="000000" w:themeColor="text1"/>
          <w:sz w:val="13"/>
          <w:szCs w:val="13"/>
          <w:lang w:val="es-419"/>
        </w:rPr>
      </w:pPr>
      <w:r>
        <w:rPr>
          <w:rStyle w:val="FootnoteReference"/>
        </w:rPr>
        <w:footnoteRef/>
      </w:r>
      <w:r w:rsidRPr="00170611">
        <w:rPr>
          <w:rFonts w:ascii="Times New Roman" w:hAnsi="Times New Roman" w:cs="Times New Roman"/>
          <w:sz w:val="16"/>
          <w:szCs w:val="16"/>
          <w:lang w:val="es-419"/>
        </w:rPr>
        <w:t xml:space="preserve"> </w:t>
      </w:r>
      <w:r w:rsidR="00055332" w:rsidRPr="00055332">
        <w:rPr>
          <w:rFonts w:ascii="Times New Roman" w:hAnsi="Times New Roman" w:cs="Times New Roman"/>
          <w:color w:val="000000" w:themeColor="text1"/>
          <w:sz w:val="15"/>
          <w:szCs w:val="15"/>
          <w:lang w:val="es-419"/>
        </w:rPr>
        <w:t>Montero, Gregorio. “El derecho a la defensa de los ciudadanos frente a la administración pública también existe.” Instituto Nacional de Administración Pública (INAP), 7 de enero de 2025.</w:t>
      </w:r>
      <w:r w:rsidR="00C6164B">
        <w:rPr>
          <w:rFonts w:ascii="Times New Roman" w:hAnsi="Times New Roman" w:cs="Times New Roman"/>
          <w:color w:val="000000" w:themeColor="text1"/>
          <w:sz w:val="15"/>
          <w:szCs w:val="15"/>
          <w:lang w:val="es-419"/>
        </w:rPr>
        <w:t xml:space="preserve"> </w:t>
      </w:r>
      <w:hyperlink r:id="rId1" w:tgtFrame="_new" w:history="1">
        <w:r w:rsidR="00C6164B" w:rsidRPr="00C6164B">
          <w:rPr>
            <w:rStyle w:val="Hyperlink"/>
            <w:sz w:val="13"/>
            <w:szCs w:val="13"/>
          </w:rPr>
          <w:t>https://enj.org</w:t>
        </w:r>
      </w:hyperlink>
    </w:p>
  </w:footnote>
  <w:footnote w:id="2">
    <w:p w14:paraId="457CDC52" w14:textId="6353D15D" w:rsidR="00170611" w:rsidRPr="00170611" w:rsidRDefault="00170611" w:rsidP="00170611">
      <w:pPr>
        <w:pStyle w:val="pdq2pgselectionanchorcontainer"/>
        <w:rPr>
          <w:color w:val="000000" w:themeColor="text1"/>
          <w:sz w:val="16"/>
          <w:szCs w:val="16"/>
        </w:rPr>
      </w:pPr>
      <w:r w:rsidRPr="00884CAE">
        <w:rPr>
          <w:rStyle w:val="FootnoteReference"/>
          <w:sz w:val="16"/>
          <w:szCs w:val="16"/>
        </w:rPr>
        <w:footnoteRef/>
      </w:r>
      <w:r w:rsidRPr="00884CAE">
        <w:rPr>
          <w:sz w:val="16"/>
          <w:szCs w:val="16"/>
          <w:lang w:val="es-419"/>
        </w:rPr>
        <w:t xml:space="preserve"> </w:t>
      </w:r>
      <w:r w:rsidRPr="00884CAE">
        <w:rPr>
          <w:color w:val="000000" w:themeColor="text1"/>
          <w:sz w:val="16"/>
          <w:szCs w:val="16"/>
          <w:lang w:val="es-419"/>
        </w:rPr>
        <w:t>Montero, Justiniano.</w:t>
      </w:r>
      <w:r w:rsidRPr="00884CAE">
        <w:rPr>
          <w:rStyle w:val="apple-converted-space"/>
          <w:color w:val="000000" w:themeColor="text1"/>
          <w:sz w:val="16"/>
          <w:szCs w:val="16"/>
          <w:lang w:val="es-419"/>
        </w:rPr>
        <w:t> </w:t>
      </w:r>
      <w:r w:rsidRPr="00884CAE">
        <w:rPr>
          <w:rStyle w:val="Emphasis"/>
          <w:color w:val="000000" w:themeColor="text1"/>
          <w:sz w:val="16"/>
          <w:szCs w:val="16"/>
          <w:lang w:val="es-419"/>
        </w:rPr>
        <w:t>Las inhibiciones judiciales y la tutela judicial efectiva</w:t>
      </w:r>
      <w:r w:rsidRPr="00884CAE">
        <w:rPr>
          <w:color w:val="000000" w:themeColor="text1"/>
          <w:sz w:val="16"/>
          <w:szCs w:val="16"/>
          <w:lang w:val="es-419"/>
        </w:rPr>
        <w:t xml:space="preserve">. </w:t>
      </w:r>
      <w:r w:rsidRPr="00884CAE">
        <w:rPr>
          <w:color w:val="000000" w:themeColor="text1"/>
          <w:sz w:val="16"/>
          <w:szCs w:val="16"/>
        </w:rPr>
        <w:t>Santo Domingo, República Dominicana, 2021</w:t>
      </w:r>
      <w:r w:rsidR="00564D37" w:rsidRPr="00564D37">
        <w:t xml:space="preserve"> </w:t>
      </w:r>
      <w:hyperlink r:id="rId2" w:tgtFrame="_new" w:history="1">
        <w:r w:rsidR="00564D37" w:rsidRPr="00564D37">
          <w:rPr>
            <w:rStyle w:val="Hyperlink"/>
            <w:sz w:val="13"/>
            <w:szCs w:val="13"/>
          </w:rPr>
          <w:t>https://enj.org</w:t>
        </w:r>
      </w:hyperlink>
    </w:p>
  </w:footnote>
  <w:footnote w:id="3">
    <w:p w14:paraId="183208D6" w14:textId="0DAB4DF9" w:rsidR="00170611" w:rsidRPr="00170611" w:rsidRDefault="00170611">
      <w:pPr>
        <w:pStyle w:val="FootnoteText"/>
      </w:pPr>
      <w:r>
        <w:rPr>
          <w:rStyle w:val="FootnoteReference"/>
        </w:rPr>
        <w:footnoteRef/>
      </w:r>
      <w:r w:rsidRPr="00170611">
        <w:rPr>
          <w:lang w:val="es-419"/>
        </w:rPr>
        <w:t xml:space="preserve"> </w:t>
      </w:r>
      <w:r w:rsidRPr="00170611">
        <w:rPr>
          <w:rFonts w:ascii="Times New Roman" w:hAnsi="Times New Roman" w:cs="Times New Roman"/>
          <w:color w:val="000000" w:themeColor="text1"/>
          <w:sz w:val="16"/>
          <w:szCs w:val="16"/>
          <w:lang w:val="es-419"/>
        </w:rPr>
        <w:t>República Dominicana.</w:t>
      </w:r>
      <w:r w:rsidRPr="00170611">
        <w:rPr>
          <w:rStyle w:val="apple-converted-space"/>
          <w:rFonts w:ascii="Times New Roman" w:hAnsi="Times New Roman" w:cs="Times New Roman"/>
          <w:color w:val="000000" w:themeColor="text1"/>
          <w:sz w:val="16"/>
          <w:szCs w:val="16"/>
          <w:lang w:val="es-419"/>
        </w:rPr>
        <w:t> </w:t>
      </w:r>
      <w:r w:rsidRPr="00170611">
        <w:rPr>
          <w:rStyle w:val="Emphasis"/>
          <w:rFonts w:ascii="Times New Roman" w:hAnsi="Times New Roman" w:cs="Times New Roman"/>
          <w:color w:val="000000" w:themeColor="text1"/>
          <w:sz w:val="16"/>
          <w:szCs w:val="16"/>
          <w:lang w:val="es-419"/>
        </w:rPr>
        <w:t>Código Penal de la República Dominicana</w:t>
      </w:r>
      <w:r w:rsidRPr="00170611">
        <w:rPr>
          <w:rFonts w:ascii="Times New Roman" w:hAnsi="Times New Roman" w:cs="Times New Roman"/>
          <w:color w:val="000000" w:themeColor="text1"/>
          <w:sz w:val="16"/>
          <w:szCs w:val="16"/>
          <w:lang w:val="es-419"/>
        </w:rPr>
        <w:t>.</w:t>
      </w:r>
      <w:r>
        <w:rPr>
          <w:rFonts w:ascii="Times New Roman" w:hAnsi="Times New Roman" w:cs="Times New Roman"/>
          <w:color w:val="000000" w:themeColor="text1"/>
          <w:sz w:val="16"/>
          <w:szCs w:val="16"/>
          <w:lang w:val="es-419"/>
        </w:rPr>
        <w:t xml:space="preserve"> </w:t>
      </w:r>
      <w:hyperlink r:id="rId3" w:tgtFrame="_new" w:history="1">
        <w:r w:rsidRPr="00170611">
          <w:rPr>
            <w:rStyle w:val="Hyperlink"/>
            <w:sz w:val="13"/>
            <w:szCs w:val="13"/>
          </w:rPr>
          <w:t>https://www.poderjudicial.gob.do/documentos/PDF/codigos/Codigo_Penal.pdf</w:t>
        </w:r>
      </w:hyperlink>
    </w:p>
  </w:footnote>
  <w:footnote w:id="4">
    <w:p w14:paraId="53B8A6CE" w14:textId="370A93F9" w:rsidR="00170611" w:rsidRPr="00170611" w:rsidRDefault="00170611">
      <w:pPr>
        <w:pStyle w:val="FootnoteText"/>
        <w:rPr>
          <w:lang w:val="en-US"/>
        </w:rPr>
      </w:pPr>
      <w:r>
        <w:rPr>
          <w:rStyle w:val="FootnoteReference"/>
        </w:rPr>
        <w:footnoteRef/>
      </w:r>
      <w:r w:rsidRPr="00170611">
        <w:rPr>
          <w:rFonts w:ascii="Times New Roman" w:hAnsi="Times New Roman" w:cs="Times New Roman"/>
          <w:i/>
          <w:iCs/>
          <w:sz w:val="11"/>
          <w:szCs w:val="11"/>
        </w:rPr>
        <w:t xml:space="preserve"> </w:t>
      </w:r>
      <w:r w:rsidRPr="00170611">
        <w:rPr>
          <w:rFonts w:ascii="Times New Roman" w:hAnsi="Times New Roman" w:cs="Times New Roman"/>
          <w:i/>
          <w:iCs/>
          <w:sz w:val="11"/>
          <w:szCs w:val="11"/>
          <w:lang w:val="en-US"/>
        </w:rPr>
        <w:t>IBÍD</w:t>
      </w:r>
    </w:p>
  </w:footnote>
  <w:footnote w:id="5">
    <w:p w14:paraId="060CD4C2" w14:textId="3A699B8E" w:rsidR="00170611" w:rsidRPr="00A502C7" w:rsidRDefault="00170611">
      <w:pPr>
        <w:pStyle w:val="FootnoteText"/>
        <w:rPr>
          <w:lang w:val="es-419"/>
        </w:rPr>
      </w:pPr>
      <w:r>
        <w:rPr>
          <w:rStyle w:val="FootnoteReference"/>
        </w:rPr>
        <w:footnoteRef/>
      </w:r>
      <w:r w:rsidRPr="00055332">
        <w:rPr>
          <w:rFonts w:ascii="Times New Roman" w:hAnsi="Times New Roman" w:cs="Times New Roman"/>
          <w:color w:val="000000" w:themeColor="text1"/>
          <w:sz w:val="15"/>
          <w:szCs w:val="15"/>
          <w:lang w:val="es-419"/>
        </w:rPr>
        <w:t xml:space="preserve"> </w:t>
      </w:r>
      <w:r w:rsidR="00055332" w:rsidRPr="00055332">
        <w:rPr>
          <w:rFonts w:ascii="Times New Roman" w:hAnsi="Times New Roman" w:cs="Times New Roman"/>
          <w:color w:val="000000" w:themeColor="text1"/>
          <w:sz w:val="15"/>
          <w:szCs w:val="15"/>
          <w:lang w:val="es-419"/>
        </w:rPr>
        <w:t>Tribunal Constitucional de la República Dominicana.</w:t>
      </w:r>
      <w:r w:rsidR="00055332" w:rsidRPr="00055332">
        <w:rPr>
          <w:rStyle w:val="apple-converted-space"/>
          <w:rFonts w:ascii="Times New Roman" w:hAnsi="Times New Roman" w:cs="Times New Roman"/>
          <w:color w:val="000000" w:themeColor="text1"/>
          <w:sz w:val="15"/>
          <w:szCs w:val="15"/>
          <w:lang w:val="es-419"/>
        </w:rPr>
        <w:t> </w:t>
      </w:r>
      <w:r w:rsidR="00055332" w:rsidRPr="00055332">
        <w:rPr>
          <w:rStyle w:val="Emphasis"/>
          <w:rFonts w:ascii="Times New Roman" w:hAnsi="Times New Roman" w:cs="Times New Roman"/>
          <w:color w:val="000000" w:themeColor="text1"/>
          <w:sz w:val="15"/>
          <w:szCs w:val="15"/>
          <w:lang w:val="es-419"/>
        </w:rPr>
        <w:t>Sentencia TC/0141/23</w:t>
      </w:r>
      <w:r w:rsidR="00055332" w:rsidRPr="00055332">
        <w:rPr>
          <w:rFonts w:ascii="Times New Roman" w:hAnsi="Times New Roman" w:cs="Times New Roman"/>
          <w:color w:val="000000" w:themeColor="text1"/>
          <w:sz w:val="15"/>
          <w:szCs w:val="15"/>
          <w:lang w:val="es-419"/>
        </w:rPr>
        <w:t>. Debido proceso en materia disciplinaria administrativa. 29 de marzo de 2023.</w:t>
      </w:r>
      <w:r w:rsidR="00055332">
        <w:rPr>
          <w:rFonts w:ascii="Times New Roman" w:hAnsi="Times New Roman" w:cs="Times New Roman"/>
          <w:color w:val="000000" w:themeColor="text1"/>
          <w:sz w:val="15"/>
          <w:szCs w:val="15"/>
          <w:lang w:val="es-419"/>
        </w:rPr>
        <w:t xml:space="preserve"> </w:t>
      </w:r>
      <w:hyperlink r:id="rId4" w:history="1">
        <w:r w:rsidR="00055332" w:rsidRPr="007E1934">
          <w:rPr>
            <w:rStyle w:val="Hyperlink"/>
            <w:rFonts w:ascii="Times New Roman" w:hAnsi="Times New Roman" w:cs="Times New Roman"/>
            <w:sz w:val="15"/>
            <w:szCs w:val="15"/>
            <w:lang w:val="es-419"/>
          </w:rPr>
          <w:t>https://tribunalconstitucional.gob.do/consultas/secretaria/sentencias/</w:t>
        </w:r>
      </w:hyperlink>
      <w:r w:rsidR="00A502C7">
        <w:rPr>
          <w:sz w:val="11"/>
          <w:szCs w:val="11"/>
          <w:lang w:val="es-419"/>
        </w:rPr>
        <w:t xml:space="preserve"> </w:t>
      </w:r>
    </w:p>
  </w:footnote>
  <w:footnote w:id="6">
    <w:p w14:paraId="00B3F21C" w14:textId="3F50378A" w:rsidR="00A502C7" w:rsidRPr="00055332" w:rsidRDefault="00A502C7">
      <w:pPr>
        <w:pStyle w:val="FootnoteText"/>
        <w:rPr>
          <w:lang w:val="es-419"/>
        </w:rPr>
      </w:pPr>
      <w:r>
        <w:rPr>
          <w:rStyle w:val="FootnoteReference"/>
        </w:rPr>
        <w:footnoteRef/>
      </w:r>
      <w:r w:rsidRPr="00A502C7">
        <w:rPr>
          <w:lang w:val="es-419"/>
        </w:rPr>
        <w:t xml:space="preserve"> </w:t>
      </w:r>
      <w:r w:rsidR="00055332" w:rsidRPr="00055332">
        <w:rPr>
          <w:rFonts w:ascii="Times New Roman" w:hAnsi="Times New Roman" w:cs="Times New Roman"/>
          <w:color w:val="000000" w:themeColor="text1"/>
          <w:sz w:val="13"/>
          <w:szCs w:val="13"/>
          <w:lang w:val="es-419"/>
        </w:rPr>
        <w:t>Batista, Nolberto. “Cuando la justicia es una amenaza: el impacto del abuso de poder en República Dominicana.”</w:t>
      </w:r>
      <w:r w:rsidR="00055332" w:rsidRPr="00055332">
        <w:rPr>
          <w:rStyle w:val="apple-converted-space"/>
          <w:rFonts w:ascii="Times New Roman" w:hAnsi="Times New Roman" w:cs="Times New Roman"/>
          <w:color w:val="000000" w:themeColor="text1"/>
          <w:sz w:val="13"/>
          <w:szCs w:val="13"/>
          <w:lang w:val="es-419"/>
        </w:rPr>
        <w:t> </w:t>
      </w:r>
      <w:r w:rsidR="00055332" w:rsidRPr="00055332">
        <w:rPr>
          <w:rStyle w:val="Emphasis"/>
          <w:rFonts w:ascii="Times New Roman" w:hAnsi="Times New Roman" w:cs="Times New Roman"/>
          <w:color w:val="000000" w:themeColor="text1"/>
          <w:sz w:val="13"/>
          <w:szCs w:val="13"/>
          <w:lang w:val="es-419"/>
        </w:rPr>
        <w:t>El Día</w:t>
      </w:r>
      <w:r w:rsidR="00055332" w:rsidRPr="00055332">
        <w:rPr>
          <w:rFonts w:ascii="Times New Roman" w:hAnsi="Times New Roman" w:cs="Times New Roman"/>
          <w:color w:val="000000" w:themeColor="text1"/>
          <w:sz w:val="13"/>
          <w:szCs w:val="13"/>
          <w:lang w:val="es-419"/>
        </w:rPr>
        <w:t>, 2 de marzo de 2026.</w:t>
      </w:r>
      <w:r w:rsidR="00564D37" w:rsidRPr="00564D37">
        <w:t xml:space="preserve"> </w:t>
      </w:r>
      <w:hyperlink r:id="rId5" w:tgtFrame="_new" w:history="1">
        <w:r w:rsidR="00564D37" w:rsidRPr="00564D37">
          <w:rPr>
            <w:rStyle w:val="Hyperlink"/>
            <w:sz w:val="13"/>
            <w:szCs w:val="13"/>
          </w:rPr>
          <w:t>https://biblioteca.enj.org</w:t>
        </w:r>
      </w:hyperlink>
    </w:p>
  </w:footnote>
  <w:footnote w:id="7">
    <w:p w14:paraId="38EE1D1C" w14:textId="1531D4C2" w:rsidR="00A502C7" w:rsidRPr="00A502C7" w:rsidRDefault="00A502C7">
      <w:pPr>
        <w:pStyle w:val="FootnoteText"/>
        <w:rPr>
          <w:rFonts w:ascii="Times New Roman" w:hAnsi="Times New Roman" w:cs="Times New Roman"/>
          <w:lang w:val="es-419"/>
        </w:rPr>
      </w:pPr>
      <w:r>
        <w:rPr>
          <w:rStyle w:val="FootnoteReference"/>
        </w:rPr>
        <w:footnoteRef/>
      </w:r>
      <w:r w:rsidRPr="00A502C7">
        <w:rPr>
          <w:lang w:val="es-419"/>
        </w:rPr>
        <w:t xml:space="preserve"> </w:t>
      </w:r>
      <w:r w:rsidR="00055332" w:rsidRPr="00055332">
        <w:rPr>
          <w:rFonts w:ascii="Times New Roman" w:hAnsi="Times New Roman" w:cs="Times New Roman"/>
          <w:color w:val="000000" w:themeColor="text1"/>
          <w:sz w:val="13"/>
          <w:szCs w:val="13"/>
          <w:lang w:val="es-419"/>
        </w:rPr>
        <w:t>Padilla, Julián. “Falsa institucionalidad, abuso de poder y justicia social.”</w:t>
      </w:r>
      <w:r w:rsidR="00055332" w:rsidRPr="00055332">
        <w:rPr>
          <w:rStyle w:val="apple-converted-space"/>
          <w:rFonts w:ascii="Times New Roman" w:hAnsi="Times New Roman" w:cs="Times New Roman"/>
          <w:color w:val="000000" w:themeColor="text1"/>
          <w:sz w:val="13"/>
          <w:szCs w:val="13"/>
          <w:lang w:val="es-419"/>
        </w:rPr>
        <w:t> </w:t>
      </w:r>
      <w:r w:rsidR="00055332" w:rsidRPr="00055332">
        <w:rPr>
          <w:rStyle w:val="Emphasis"/>
          <w:rFonts w:ascii="Times New Roman" w:hAnsi="Times New Roman" w:cs="Times New Roman"/>
          <w:color w:val="000000" w:themeColor="text1"/>
          <w:sz w:val="13"/>
          <w:szCs w:val="13"/>
          <w:lang w:val="es-419"/>
        </w:rPr>
        <w:t>El Nuevo Diario</w:t>
      </w:r>
      <w:r w:rsidR="00055332" w:rsidRPr="00055332">
        <w:rPr>
          <w:rFonts w:ascii="Times New Roman" w:hAnsi="Times New Roman" w:cs="Times New Roman"/>
          <w:color w:val="000000" w:themeColor="text1"/>
          <w:sz w:val="13"/>
          <w:szCs w:val="13"/>
          <w:lang w:val="es-419"/>
        </w:rPr>
        <w:t>, 22 de septiembre de 2023.</w:t>
      </w:r>
      <w:r w:rsidR="00564D37" w:rsidRPr="00564D37">
        <w:t xml:space="preserve"> </w:t>
      </w:r>
      <w:hyperlink r:id="rId6" w:tgtFrame="_new" w:history="1">
        <w:r w:rsidR="00564D37" w:rsidRPr="00564D37">
          <w:rPr>
            <w:rStyle w:val="Hyperlink"/>
            <w:sz w:val="11"/>
            <w:szCs w:val="11"/>
          </w:rPr>
          <w:t>https://enj.org</w:t>
        </w:r>
      </w:hyperlink>
    </w:p>
  </w:footnote>
  <w:footnote w:id="8">
    <w:p w14:paraId="50D51CB1" w14:textId="4C1FF212" w:rsidR="00A502C7" w:rsidRPr="00055332" w:rsidRDefault="00A502C7">
      <w:pPr>
        <w:pStyle w:val="FootnoteText"/>
        <w:rPr>
          <w:lang w:val="es-419"/>
        </w:rPr>
      </w:pPr>
      <w:r>
        <w:rPr>
          <w:rStyle w:val="FootnoteReference"/>
        </w:rPr>
        <w:footnoteRef/>
      </w:r>
      <w:r w:rsidRPr="00A502C7">
        <w:rPr>
          <w:lang w:val="es-419"/>
        </w:rPr>
        <w:t xml:space="preserve"> </w:t>
      </w:r>
      <w:r w:rsidR="00055332" w:rsidRPr="00055332">
        <w:rPr>
          <w:rFonts w:ascii="Times New Roman" w:hAnsi="Times New Roman" w:cs="Times New Roman"/>
          <w:color w:val="000000" w:themeColor="text1"/>
          <w:sz w:val="13"/>
          <w:szCs w:val="13"/>
          <w:lang w:val="es-419"/>
        </w:rPr>
        <w:t>Tribunal Constitucional de la República Dominicana.</w:t>
      </w:r>
      <w:r w:rsidR="00055332" w:rsidRPr="00055332">
        <w:rPr>
          <w:rStyle w:val="apple-converted-space"/>
          <w:rFonts w:ascii="Times New Roman" w:hAnsi="Times New Roman" w:cs="Times New Roman"/>
          <w:color w:val="000000" w:themeColor="text1"/>
          <w:sz w:val="13"/>
          <w:szCs w:val="13"/>
          <w:lang w:val="es-419"/>
        </w:rPr>
        <w:t> </w:t>
      </w:r>
      <w:r w:rsidR="00055332" w:rsidRPr="00055332">
        <w:rPr>
          <w:rStyle w:val="Emphasis"/>
          <w:rFonts w:ascii="Times New Roman" w:hAnsi="Times New Roman" w:cs="Times New Roman"/>
          <w:color w:val="000000" w:themeColor="text1"/>
          <w:sz w:val="13"/>
          <w:szCs w:val="13"/>
          <w:lang w:val="es-419"/>
        </w:rPr>
        <w:t>Sentencia TC/0075/14</w:t>
      </w:r>
      <w:r w:rsidR="00055332" w:rsidRPr="00055332">
        <w:rPr>
          <w:rFonts w:ascii="Times New Roman" w:hAnsi="Times New Roman" w:cs="Times New Roman"/>
          <w:color w:val="000000" w:themeColor="text1"/>
          <w:sz w:val="13"/>
          <w:szCs w:val="13"/>
          <w:lang w:val="es-419"/>
        </w:rPr>
        <w:t>. Recurso de revisión constitucional en materia de amparo. 23 de abril de 2014.</w:t>
      </w:r>
      <w:r w:rsidRPr="00055332">
        <w:rPr>
          <w:rFonts w:ascii="Times New Roman" w:hAnsi="Times New Roman" w:cs="Times New Roman"/>
          <w:color w:val="000000" w:themeColor="text1"/>
          <w:sz w:val="13"/>
          <w:szCs w:val="13"/>
          <w:lang w:val="es-419"/>
        </w:rPr>
        <w:t xml:space="preserve">. </w:t>
      </w:r>
      <w:hyperlink r:id="rId7" w:history="1">
        <w:r w:rsidRPr="007E1934">
          <w:rPr>
            <w:rStyle w:val="Hyperlink"/>
            <w:sz w:val="11"/>
            <w:szCs w:val="11"/>
            <w:lang w:val="es-419"/>
          </w:rPr>
          <w:t>https://tribunalconstitucional.gob.do/consultas/secretaria/sentencias/</w:t>
        </w:r>
      </w:hyperlink>
    </w:p>
  </w:footnote>
  <w:footnote w:id="9">
    <w:p w14:paraId="44103E2B" w14:textId="27E04B58" w:rsidR="00A502C7" w:rsidRPr="00564D37" w:rsidRDefault="00A502C7">
      <w:pPr>
        <w:pStyle w:val="FootnoteText"/>
        <w:rPr>
          <w:sz w:val="16"/>
          <w:szCs w:val="16"/>
          <w:lang w:val="es-419"/>
        </w:rPr>
      </w:pPr>
      <w:r w:rsidRPr="00A502C7">
        <w:rPr>
          <w:rStyle w:val="FootnoteReference"/>
          <w:color w:val="000000" w:themeColor="text1"/>
        </w:rPr>
        <w:footnoteRef/>
      </w:r>
      <w:r w:rsidRPr="00A502C7">
        <w:rPr>
          <w:color w:val="000000" w:themeColor="text1"/>
          <w:lang w:val="es-419"/>
        </w:rPr>
        <w:t xml:space="preserve"> </w:t>
      </w:r>
      <w:r w:rsidR="00055332" w:rsidRPr="00055332">
        <w:rPr>
          <w:rFonts w:ascii="Times New Roman" w:hAnsi="Times New Roman" w:cs="Times New Roman"/>
          <w:color w:val="000000" w:themeColor="text1"/>
          <w:sz w:val="13"/>
          <w:szCs w:val="13"/>
          <w:lang w:val="es-419"/>
        </w:rPr>
        <w:t>Tribunal Constitucional de la República Dominicana.</w:t>
      </w:r>
      <w:r w:rsidR="00055332" w:rsidRPr="00055332">
        <w:rPr>
          <w:rStyle w:val="apple-converted-space"/>
          <w:rFonts w:ascii="Times New Roman" w:hAnsi="Times New Roman" w:cs="Times New Roman"/>
          <w:color w:val="000000" w:themeColor="text1"/>
          <w:sz w:val="13"/>
          <w:szCs w:val="13"/>
          <w:lang w:val="es-419"/>
        </w:rPr>
        <w:t> </w:t>
      </w:r>
      <w:r w:rsidR="00055332" w:rsidRPr="00055332">
        <w:rPr>
          <w:rStyle w:val="Emphasis"/>
          <w:rFonts w:ascii="Times New Roman" w:hAnsi="Times New Roman" w:cs="Times New Roman"/>
          <w:color w:val="000000" w:themeColor="text1"/>
          <w:sz w:val="13"/>
          <w:szCs w:val="13"/>
          <w:lang w:val="es-419"/>
        </w:rPr>
        <w:t>Sentencia TC/0344/14</w:t>
      </w:r>
      <w:r w:rsidR="00055332" w:rsidRPr="00055332">
        <w:rPr>
          <w:rFonts w:ascii="Times New Roman" w:hAnsi="Times New Roman" w:cs="Times New Roman"/>
          <w:color w:val="000000" w:themeColor="text1"/>
          <w:sz w:val="13"/>
          <w:szCs w:val="13"/>
          <w:lang w:val="es-419"/>
        </w:rPr>
        <w:t>. Límites de la discrecionalidad del Poder Ejecutivo. 23 de diciembre de 2014.</w:t>
      </w:r>
      <w:r w:rsidR="00564D37">
        <w:rPr>
          <w:rFonts w:ascii="Times New Roman" w:hAnsi="Times New Roman" w:cs="Times New Roman"/>
          <w:color w:val="000000" w:themeColor="text1"/>
          <w:sz w:val="13"/>
          <w:szCs w:val="13"/>
          <w:lang w:val="es-419"/>
        </w:rPr>
        <w:t xml:space="preserve">  </w:t>
      </w:r>
      <w:r w:rsidR="00564D37" w:rsidRPr="00564D37">
        <w:rPr>
          <w:sz w:val="13"/>
          <w:szCs w:val="13"/>
          <w:lang w:val="es-419"/>
        </w:rPr>
        <w:t>https://tribunalconstitucional.gob.do/consultas/secretaria/sentencias/</w:t>
      </w:r>
    </w:p>
  </w:footnote>
  <w:footnote w:id="10">
    <w:p w14:paraId="25B6760E" w14:textId="4062C304" w:rsidR="00A502C7" w:rsidRPr="00564D37" w:rsidRDefault="00A502C7">
      <w:pPr>
        <w:pStyle w:val="FootnoteText"/>
        <w:rPr>
          <w:lang w:val="es-419"/>
        </w:rPr>
      </w:pPr>
      <w:r>
        <w:rPr>
          <w:rStyle w:val="FootnoteReference"/>
        </w:rPr>
        <w:footnoteRef/>
      </w:r>
      <w:r w:rsidRPr="00A502C7">
        <w:rPr>
          <w:lang w:val="es-419"/>
        </w:rPr>
        <w:t xml:space="preserve"> </w:t>
      </w:r>
      <w:r w:rsidR="00055332" w:rsidRPr="00055332">
        <w:rPr>
          <w:rFonts w:ascii="Times New Roman" w:hAnsi="Times New Roman" w:cs="Times New Roman"/>
          <w:color w:val="000000" w:themeColor="text1"/>
          <w:sz w:val="13"/>
          <w:szCs w:val="13"/>
          <w:lang w:val="es-419"/>
        </w:rPr>
        <w:t>Tribunal Constitucional de la República Dominicana.</w:t>
      </w:r>
      <w:r w:rsidR="00055332" w:rsidRPr="00055332">
        <w:rPr>
          <w:rStyle w:val="apple-converted-space"/>
          <w:rFonts w:ascii="Times New Roman" w:hAnsi="Times New Roman" w:cs="Times New Roman"/>
          <w:color w:val="000000" w:themeColor="text1"/>
          <w:sz w:val="13"/>
          <w:szCs w:val="13"/>
          <w:lang w:val="es-419"/>
        </w:rPr>
        <w:t> </w:t>
      </w:r>
      <w:r w:rsidR="00055332" w:rsidRPr="00055332">
        <w:rPr>
          <w:rStyle w:val="Emphasis"/>
          <w:rFonts w:ascii="Times New Roman" w:hAnsi="Times New Roman" w:cs="Times New Roman"/>
          <w:color w:val="000000" w:themeColor="text1"/>
          <w:sz w:val="13"/>
          <w:szCs w:val="13"/>
          <w:lang w:val="es-419"/>
        </w:rPr>
        <w:t>Sentencia TC/0388/15</w:t>
      </w:r>
      <w:r w:rsidR="00055332" w:rsidRPr="00055332">
        <w:rPr>
          <w:rFonts w:ascii="Times New Roman" w:hAnsi="Times New Roman" w:cs="Times New Roman"/>
          <w:color w:val="000000" w:themeColor="text1"/>
          <w:sz w:val="13"/>
          <w:szCs w:val="13"/>
          <w:lang w:val="es-419"/>
        </w:rPr>
        <w:t xml:space="preserve">. </w:t>
      </w:r>
      <w:r w:rsidR="00055332" w:rsidRPr="00564D37">
        <w:rPr>
          <w:rFonts w:ascii="Times New Roman" w:hAnsi="Times New Roman" w:cs="Times New Roman"/>
          <w:color w:val="000000" w:themeColor="text1"/>
          <w:sz w:val="13"/>
          <w:szCs w:val="13"/>
          <w:lang w:val="es-419"/>
        </w:rPr>
        <w:t>Principio de razonabilidad. 16 de octubre de 2015.</w:t>
      </w:r>
      <w:r w:rsidR="00564D37" w:rsidRPr="00564D37">
        <w:rPr>
          <w:rFonts w:ascii="Times New Roman" w:hAnsi="Times New Roman" w:cs="Times New Roman"/>
          <w:color w:val="000000" w:themeColor="text1"/>
          <w:sz w:val="13"/>
          <w:szCs w:val="13"/>
          <w:lang w:val="es-419"/>
        </w:rPr>
        <w:t xml:space="preserve"> </w:t>
      </w:r>
      <w:r w:rsidR="00564D37">
        <w:rPr>
          <w:rFonts w:ascii="Times New Roman" w:hAnsi="Times New Roman" w:cs="Times New Roman"/>
          <w:color w:val="000000" w:themeColor="text1"/>
          <w:sz w:val="13"/>
          <w:szCs w:val="13"/>
          <w:lang w:val="es-419"/>
        </w:rPr>
        <w:t xml:space="preserve">  </w:t>
      </w:r>
      <w:r w:rsidR="00564D37" w:rsidRPr="00564D37">
        <w:rPr>
          <w:sz w:val="13"/>
          <w:szCs w:val="13"/>
          <w:lang w:val="es-419"/>
        </w:rPr>
        <w:t>https://tribunalconstitucional.gob.do/consultas/secretaria/sentencias/</w:t>
      </w:r>
    </w:p>
  </w:footnote>
  <w:footnote w:id="11">
    <w:p w14:paraId="6012AB6C" w14:textId="7FCA22F5" w:rsidR="0071595D" w:rsidRPr="00C6164B" w:rsidRDefault="0071595D" w:rsidP="0071595D">
      <w:pPr>
        <w:pStyle w:val="pdq2pgselectionanchorcontainer"/>
        <w:rPr>
          <w:color w:val="000000" w:themeColor="text1"/>
          <w:sz w:val="13"/>
          <w:szCs w:val="13"/>
        </w:rPr>
      </w:pPr>
      <w:r w:rsidRPr="00C6164B">
        <w:rPr>
          <w:rStyle w:val="FootnoteReference"/>
          <w:sz w:val="15"/>
          <w:szCs w:val="15"/>
        </w:rPr>
        <w:footnoteRef/>
      </w:r>
      <w:r w:rsidRPr="0071595D">
        <w:rPr>
          <w:lang w:val="es-419"/>
        </w:rPr>
        <w:t xml:space="preserve"> </w:t>
      </w:r>
      <w:r w:rsidRPr="00C6164B">
        <w:rPr>
          <w:color w:val="000000" w:themeColor="text1"/>
          <w:sz w:val="13"/>
          <w:szCs w:val="13"/>
          <w:lang w:val="es-419"/>
        </w:rPr>
        <w:t>García Aybar, Emely.</w:t>
      </w:r>
      <w:r w:rsidRPr="00C6164B">
        <w:rPr>
          <w:rStyle w:val="apple-converted-space"/>
          <w:color w:val="000000" w:themeColor="text1"/>
          <w:sz w:val="13"/>
          <w:szCs w:val="13"/>
          <w:lang w:val="es-419"/>
        </w:rPr>
        <w:t> </w:t>
      </w:r>
      <w:r w:rsidRPr="00C6164B">
        <w:rPr>
          <w:rStyle w:val="Emphasis"/>
          <w:color w:val="000000" w:themeColor="text1"/>
          <w:sz w:val="13"/>
          <w:szCs w:val="13"/>
          <w:lang w:val="es-419"/>
        </w:rPr>
        <w:t>La legislación dominicana sobre protección de datos personales: principios, consentimiento y el proceso de hábeas data</w:t>
      </w:r>
      <w:r w:rsidRPr="00C6164B">
        <w:rPr>
          <w:color w:val="000000" w:themeColor="text1"/>
          <w:sz w:val="13"/>
          <w:szCs w:val="13"/>
          <w:lang w:val="es-419"/>
        </w:rPr>
        <w:t xml:space="preserve">. </w:t>
      </w:r>
      <w:r w:rsidRPr="00C6164B">
        <w:rPr>
          <w:color w:val="000000" w:themeColor="text1"/>
          <w:sz w:val="13"/>
          <w:szCs w:val="13"/>
        </w:rPr>
        <w:t>Santo Domingo, República Dominicana.</w:t>
      </w:r>
      <w:r w:rsidR="00564D37">
        <w:rPr>
          <w:color w:val="000000" w:themeColor="text1"/>
          <w:sz w:val="13"/>
          <w:szCs w:val="13"/>
        </w:rPr>
        <w:t xml:space="preserve"> </w:t>
      </w:r>
      <w:hyperlink r:id="rId8" w:tgtFrame="_new" w:history="1">
        <w:r w:rsidR="00564D37" w:rsidRPr="00564D37">
          <w:rPr>
            <w:rStyle w:val="Hyperlink"/>
            <w:sz w:val="13"/>
            <w:szCs w:val="13"/>
          </w:rPr>
          <w:t>https://biblioteca.enj.org</w:t>
        </w:r>
      </w:hyperlink>
    </w:p>
  </w:footnote>
  <w:footnote w:id="12">
    <w:p w14:paraId="34F87E2E" w14:textId="39CB43F9" w:rsidR="0071595D" w:rsidRPr="0071595D" w:rsidRDefault="0071595D">
      <w:pPr>
        <w:pStyle w:val="FootnoteText"/>
        <w:rPr>
          <w:lang w:val="en-US"/>
        </w:rPr>
      </w:pPr>
      <w:r w:rsidRPr="00C6164B">
        <w:rPr>
          <w:rStyle w:val="FootnoteReference"/>
          <w:sz w:val="13"/>
          <w:szCs w:val="13"/>
        </w:rPr>
        <w:footnoteRef/>
      </w:r>
      <w:r w:rsidRPr="00C6164B">
        <w:rPr>
          <w:sz w:val="13"/>
          <w:szCs w:val="13"/>
          <w:lang w:val="es-419"/>
        </w:rPr>
        <w:t xml:space="preserve"> </w:t>
      </w:r>
      <w:r w:rsidRPr="00C6164B">
        <w:rPr>
          <w:rFonts w:ascii="Times New Roman" w:hAnsi="Times New Roman" w:cs="Times New Roman"/>
          <w:color w:val="000000" w:themeColor="text1"/>
          <w:sz w:val="13"/>
          <w:szCs w:val="13"/>
          <w:lang w:val="es-419"/>
        </w:rPr>
        <w:t>Durán Reyes, Freddy Thomas.</w:t>
      </w:r>
      <w:r w:rsidRPr="00C6164B">
        <w:rPr>
          <w:rStyle w:val="apple-converted-space"/>
          <w:rFonts w:ascii="Times New Roman" w:hAnsi="Times New Roman" w:cs="Times New Roman"/>
          <w:color w:val="000000" w:themeColor="text1"/>
          <w:sz w:val="13"/>
          <w:szCs w:val="13"/>
          <w:lang w:val="es-419"/>
        </w:rPr>
        <w:t> </w:t>
      </w:r>
      <w:r w:rsidRPr="00C6164B">
        <w:rPr>
          <w:rStyle w:val="Emphasis"/>
          <w:rFonts w:ascii="Times New Roman" w:hAnsi="Times New Roman" w:cs="Times New Roman"/>
          <w:color w:val="000000" w:themeColor="text1"/>
          <w:sz w:val="13"/>
          <w:szCs w:val="13"/>
          <w:lang w:val="es-419"/>
        </w:rPr>
        <w:t>El derecho a la protección de datos y hábeas data en la Constitución de la República Dominicana</w:t>
      </w:r>
      <w:r w:rsidRPr="00C6164B">
        <w:rPr>
          <w:rFonts w:ascii="Times New Roman" w:hAnsi="Times New Roman" w:cs="Times New Roman"/>
          <w:color w:val="000000" w:themeColor="text1"/>
          <w:sz w:val="13"/>
          <w:szCs w:val="13"/>
          <w:lang w:val="es-419"/>
        </w:rPr>
        <w:t xml:space="preserve">. </w:t>
      </w:r>
      <w:r w:rsidRPr="00C6164B">
        <w:rPr>
          <w:rFonts w:ascii="Times New Roman" w:hAnsi="Times New Roman" w:cs="Times New Roman"/>
          <w:color w:val="000000" w:themeColor="text1"/>
          <w:sz w:val="13"/>
          <w:szCs w:val="13"/>
        </w:rPr>
        <w:t>Santo Domingo, República Dominicana.</w:t>
      </w:r>
      <w:r w:rsidR="00564D37" w:rsidRPr="00564D37">
        <w:t xml:space="preserve"> </w:t>
      </w:r>
      <w:hyperlink r:id="rId9" w:tgtFrame="_new" w:history="1">
        <w:r w:rsidR="00564D37" w:rsidRPr="00564D37">
          <w:rPr>
            <w:rStyle w:val="Hyperlink"/>
            <w:sz w:val="13"/>
            <w:szCs w:val="13"/>
          </w:rPr>
          <w:t>https://gacetajudicial.com.do</w:t>
        </w:r>
      </w:hyperlink>
    </w:p>
  </w:footnote>
  <w:footnote w:id="13">
    <w:p w14:paraId="1D91B118" w14:textId="2D18D831" w:rsidR="0071595D" w:rsidRPr="00564D37" w:rsidRDefault="0071595D">
      <w:pPr>
        <w:pStyle w:val="FootnoteText"/>
        <w:rPr>
          <w:lang w:val="es-419"/>
        </w:rPr>
      </w:pPr>
      <w:r w:rsidRPr="00C6164B">
        <w:rPr>
          <w:rStyle w:val="FootnoteReference"/>
          <w:sz w:val="16"/>
          <w:szCs w:val="16"/>
        </w:rPr>
        <w:footnoteRef/>
      </w:r>
      <w:r w:rsidR="00C6164B" w:rsidRPr="00C6164B">
        <w:rPr>
          <w:rFonts w:ascii="Times New Roman" w:hAnsi="Times New Roman" w:cs="Times New Roman"/>
          <w:color w:val="000000" w:themeColor="text1"/>
          <w:sz w:val="13"/>
          <w:szCs w:val="13"/>
          <w:lang w:val="es-419"/>
        </w:rPr>
        <w:t>Tribunal Constitucional de la República Dominicana.</w:t>
      </w:r>
      <w:r w:rsidR="00C6164B" w:rsidRPr="00C6164B">
        <w:rPr>
          <w:rStyle w:val="apple-converted-space"/>
          <w:rFonts w:ascii="Times New Roman" w:hAnsi="Times New Roman" w:cs="Times New Roman"/>
          <w:color w:val="000000" w:themeColor="text1"/>
          <w:sz w:val="13"/>
          <w:szCs w:val="13"/>
          <w:lang w:val="es-419"/>
        </w:rPr>
        <w:t> </w:t>
      </w:r>
      <w:r w:rsidR="00C6164B" w:rsidRPr="00C6164B">
        <w:rPr>
          <w:rStyle w:val="Emphasis"/>
          <w:rFonts w:ascii="Times New Roman" w:hAnsi="Times New Roman" w:cs="Times New Roman"/>
          <w:color w:val="000000" w:themeColor="text1"/>
          <w:sz w:val="13"/>
          <w:szCs w:val="13"/>
          <w:lang w:val="es-419"/>
        </w:rPr>
        <w:t>Sentencia TC/0484/16</w:t>
      </w:r>
      <w:r w:rsidR="00C6164B" w:rsidRPr="00C6164B">
        <w:rPr>
          <w:rFonts w:ascii="Times New Roman" w:hAnsi="Times New Roman" w:cs="Times New Roman"/>
          <w:color w:val="000000" w:themeColor="text1"/>
          <w:sz w:val="13"/>
          <w:szCs w:val="13"/>
          <w:lang w:val="es-419"/>
        </w:rPr>
        <w:t xml:space="preserve">. Protección de datos y debido proceso. </w:t>
      </w:r>
      <w:r w:rsidR="00C6164B" w:rsidRPr="00564D37">
        <w:rPr>
          <w:rFonts w:ascii="Times New Roman" w:hAnsi="Times New Roman" w:cs="Times New Roman"/>
          <w:color w:val="000000" w:themeColor="text1"/>
          <w:sz w:val="13"/>
          <w:szCs w:val="13"/>
          <w:lang w:val="es-419"/>
        </w:rPr>
        <w:t>18 de octubre de 2016.</w:t>
      </w:r>
      <w:r w:rsidR="00C6164B" w:rsidRPr="00564D37">
        <w:rPr>
          <w:rFonts w:ascii="Times New Roman" w:hAnsi="Times New Roman" w:cs="Times New Roman"/>
          <w:color w:val="000000" w:themeColor="text1"/>
          <w:sz w:val="13"/>
          <w:szCs w:val="13"/>
          <w:lang w:val="es-419"/>
        </w:rPr>
        <w:t xml:space="preserve"> </w:t>
      </w:r>
      <w:r w:rsidR="00564D37" w:rsidRPr="00564D37">
        <w:rPr>
          <w:rFonts w:ascii="-webkit-standard" w:hAnsi="-webkit-standard"/>
          <w:color w:val="156082" w:themeColor="accent1"/>
          <w:sz w:val="13"/>
          <w:szCs w:val="13"/>
          <w:lang w:val="es-419"/>
        </w:rPr>
        <w:t>https://tribunalconstitucional.gob.do/consultas/secretaria/sentencias/</w:t>
      </w:r>
    </w:p>
  </w:footnote>
  <w:footnote w:id="14">
    <w:p w14:paraId="3522EC95" w14:textId="4D3ECDD0" w:rsidR="009254FD" w:rsidRPr="009254FD" w:rsidRDefault="009254FD">
      <w:pPr>
        <w:pStyle w:val="FootnoteText"/>
        <w:rPr>
          <w:sz w:val="11"/>
          <w:szCs w:val="11"/>
          <w:lang w:val="es-419"/>
        </w:rPr>
      </w:pPr>
      <w:r>
        <w:rPr>
          <w:rStyle w:val="FootnoteReference"/>
        </w:rPr>
        <w:footnoteRef/>
      </w:r>
      <w:r w:rsidRPr="009254FD">
        <w:rPr>
          <w:lang w:val="es-419"/>
        </w:rPr>
        <w:t xml:space="preserve"> </w:t>
      </w:r>
      <w:r w:rsidRPr="00C6164B">
        <w:rPr>
          <w:rFonts w:ascii="Times New Roman" w:hAnsi="Times New Roman" w:cs="Times New Roman"/>
          <w:color w:val="000000" w:themeColor="text1"/>
          <w:sz w:val="13"/>
          <w:szCs w:val="13"/>
          <w:lang w:val="es-419"/>
        </w:rPr>
        <w:t>República Dominicana.</w:t>
      </w:r>
      <w:r w:rsidRPr="00C6164B">
        <w:rPr>
          <w:rStyle w:val="apple-converted-space"/>
          <w:rFonts w:ascii="Times New Roman" w:hAnsi="Times New Roman" w:cs="Times New Roman"/>
          <w:color w:val="000000" w:themeColor="text1"/>
          <w:sz w:val="13"/>
          <w:szCs w:val="13"/>
          <w:lang w:val="es-419"/>
        </w:rPr>
        <w:t> </w:t>
      </w:r>
      <w:r w:rsidRPr="00C6164B">
        <w:rPr>
          <w:rStyle w:val="Emphasis"/>
          <w:rFonts w:ascii="Times New Roman" w:hAnsi="Times New Roman" w:cs="Times New Roman"/>
          <w:color w:val="000000" w:themeColor="text1"/>
          <w:sz w:val="13"/>
          <w:szCs w:val="13"/>
          <w:lang w:val="es-419"/>
        </w:rPr>
        <w:t>Ley núm. 107-13 sobre los Derechos de las Personas en sus Relaciones con la Administración y de Procedimiento Administrativo</w:t>
      </w:r>
      <w:r w:rsidRPr="00C6164B">
        <w:rPr>
          <w:rFonts w:ascii="Times New Roman" w:hAnsi="Times New Roman" w:cs="Times New Roman"/>
          <w:color w:val="000000" w:themeColor="text1"/>
          <w:sz w:val="13"/>
          <w:szCs w:val="13"/>
          <w:lang w:val="es-419"/>
        </w:rPr>
        <w:t>, promulgada el 6 de agosto de 2013.</w:t>
      </w:r>
      <w:r w:rsidR="00C6164B">
        <w:rPr>
          <w:rFonts w:ascii="Times New Roman" w:hAnsi="Times New Roman" w:cs="Times New Roman"/>
          <w:color w:val="000000" w:themeColor="text1"/>
          <w:sz w:val="11"/>
          <w:szCs w:val="11"/>
          <w:lang w:val="es-419"/>
        </w:rPr>
        <w:t xml:space="preserve"> </w:t>
      </w:r>
      <w:r w:rsidRPr="009254FD">
        <w:rPr>
          <w:rFonts w:ascii="Times New Roman" w:hAnsi="Times New Roman" w:cs="Times New Roman"/>
          <w:color w:val="000000" w:themeColor="text1"/>
          <w:sz w:val="11"/>
          <w:szCs w:val="11"/>
          <w:lang w:val="es-419"/>
        </w:rPr>
        <w:t xml:space="preserve"> </w:t>
      </w:r>
      <w:r w:rsidRPr="009254FD">
        <w:rPr>
          <w:sz w:val="11"/>
          <w:szCs w:val="11"/>
          <w:lang w:val="es-419"/>
        </w:rPr>
        <w:t>https://www.sipen.gob.do/wp-content/uploads/2019/09/Ley-107-13.pdf</w:t>
      </w:r>
    </w:p>
  </w:footnote>
  <w:footnote w:id="15">
    <w:p w14:paraId="352801F5" w14:textId="5B774AFE" w:rsidR="009254FD" w:rsidRPr="00C6164B" w:rsidRDefault="009254FD">
      <w:pPr>
        <w:pStyle w:val="FootnoteText"/>
        <w:rPr>
          <w:lang w:val="es-419"/>
        </w:rPr>
      </w:pPr>
      <w:r>
        <w:rPr>
          <w:rStyle w:val="FootnoteReference"/>
        </w:rPr>
        <w:footnoteRef/>
      </w:r>
      <w:r w:rsidRPr="00C6164B">
        <w:rPr>
          <w:rFonts w:ascii="Times New Roman" w:hAnsi="Times New Roman" w:cs="Times New Roman"/>
          <w:color w:val="000000" w:themeColor="text1"/>
          <w:sz w:val="13"/>
          <w:szCs w:val="13"/>
          <w:lang w:val="es-419"/>
        </w:rPr>
        <w:t xml:space="preserve"> </w:t>
      </w:r>
      <w:r w:rsidR="00C6164B" w:rsidRPr="00C6164B">
        <w:rPr>
          <w:rFonts w:ascii="Times New Roman" w:hAnsi="Times New Roman" w:cs="Times New Roman"/>
          <w:color w:val="000000" w:themeColor="text1"/>
          <w:sz w:val="13"/>
          <w:szCs w:val="13"/>
          <w:lang w:val="es-419"/>
        </w:rPr>
        <w:t>Santana, Wander. “Pepca acusa de corrupción a 30 personas y 18 empresas en casos Coral y Coral 5G.”</w:t>
      </w:r>
      <w:r w:rsidR="00C6164B" w:rsidRPr="00C6164B">
        <w:rPr>
          <w:rStyle w:val="apple-converted-space"/>
          <w:rFonts w:ascii="Times New Roman" w:hAnsi="Times New Roman" w:cs="Times New Roman"/>
          <w:color w:val="000000" w:themeColor="text1"/>
          <w:sz w:val="13"/>
          <w:szCs w:val="13"/>
          <w:lang w:val="es-419"/>
        </w:rPr>
        <w:t> </w:t>
      </w:r>
      <w:r w:rsidR="00C6164B" w:rsidRPr="00C6164B">
        <w:rPr>
          <w:rStyle w:val="Emphasis"/>
          <w:rFonts w:ascii="Times New Roman" w:hAnsi="Times New Roman" w:cs="Times New Roman"/>
          <w:color w:val="000000" w:themeColor="text1"/>
          <w:sz w:val="13"/>
          <w:szCs w:val="13"/>
          <w:lang w:val="es-419"/>
        </w:rPr>
        <w:t>Diario Libre</w:t>
      </w:r>
      <w:r w:rsidR="00C6164B" w:rsidRPr="00C6164B">
        <w:rPr>
          <w:rFonts w:ascii="Times New Roman" w:hAnsi="Times New Roman" w:cs="Times New Roman"/>
          <w:color w:val="000000" w:themeColor="text1"/>
          <w:sz w:val="13"/>
          <w:szCs w:val="13"/>
          <w:lang w:val="es-419"/>
        </w:rPr>
        <w:t>, 4 de mayo de 2022.</w:t>
      </w:r>
      <w:hyperlink r:id="rId10" w:tgtFrame="_new" w:history="1">
        <w:r w:rsidRPr="00C6164B">
          <w:rPr>
            <w:rStyle w:val="Hyperlink"/>
            <w:sz w:val="11"/>
            <w:szCs w:val="11"/>
            <w:lang w:val="es-419"/>
          </w:rPr>
          <w:t>https://www.diariolibre.com</w:t>
        </w:r>
      </w:hyperlink>
    </w:p>
  </w:footnote>
  <w:footnote w:id="16">
    <w:p w14:paraId="0886E65D" w14:textId="2D3B3567" w:rsidR="009254FD" w:rsidRPr="009254FD" w:rsidRDefault="009254FD">
      <w:pPr>
        <w:pStyle w:val="FootnoteText"/>
        <w:rPr>
          <w:lang w:val="es-419"/>
        </w:rPr>
      </w:pPr>
      <w:r w:rsidRPr="00C6164B">
        <w:rPr>
          <w:rStyle w:val="FootnoteReference"/>
          <w:rFonts w:ascii="Times New Roman" w:hAnsi="Times New Roman" w:cs="Times New Roman"/>
          <w:color w:val="000000" w:themeColor="text1"/>
          <w:sz w:val="13"/>
          <w:szCs w:val="13"/>
        </w:rPr>
        <w:footnoteRef/>
      </w:r>
      <w:r w:rsidRPr="00C6164B">
        <w:rPr>
          <w:rFonts w:ascii="Times New Roman" w:hAnsi="Times New Roman" w:cs="Times New Roman"/>
          <w:color w:val="000000" w:themeColor="text1"/>
          <w:sz w:val="13"/>
          <w:szCs w:val="13"/>
          <w:lang w:val="es-419"/>
        </w:rPr>
        <w:t xml:space="preserve"> </w:t>
      </w:r>
      <w:r w:rsidR="00C6164B" w:rsidRPr="00C6164B">
        <w:rPr>
          <w:rFonts w:ascii="Times New Roman" w:hAnsi="Times New Roman" w:cs="Times New Roman"/>
          <w:color w:val="000000" w:themeColor="text1"/>
          <w:sz w:val="13"/>
          <w:szCs w:val="13"/>
          <w:lang w:val="es-419"/>
        </w:rPr>
        <w:t>Aybar, Ana. “Joven que fue golpeada por el coronel Madé en Los Mina se querella en su contra y la Policía.”</w:t>
      </w:r>
      <w:r w:rsidR="00C6164B" w:rsidRPr="00C6164B">
        <w:rPr>
          <w:rStyle w:val="apple-converted-space"/>
          <w:rFonts w:ascii="Times New Roman" w:hAnsi="Times New Roman" w:cs="Times New Roman"/>
          <w:color w:val="000000" w:themeColor="text1"/>
          <w:sz w:val="13"/>
          <w:szCs w:val="13"/>
          <w:lang w:val="es-419"/>
        </w:rPr>
        <w:t> </w:t>
      </w:r>
      <w:r w:rsidR="00C6164B" w:rsidRPr="00C6164B">
        <w:rPr>
          <w:rStyle w:val="Emphasis"/>
          <w:rFonts w:ascii="Times New Roman" w:hAnsi="Times New Roman" w:cs="Times New Roman"/>
          <w:color w:val="000000" w:themeColor="text1"/>
          <w:sz w:val="13"/>
          <w:szCs w:val="13"/>
          <w:lang w:val="es-419"/>
        </w:rPr>
        <w:t>Diario Libre</w:t>
      </w:r>
      <w:r w:rsidR="00C6164B" w:rsidRPr="00C6164B">
        <w:rPr>
          <w:rFonts w:ascii="Times New Roman" w:hAnsi="Times New Roman" w:cs="Times New Roman"/>
          <w:color w:val="000000" w:themeColor="text1"/>
          <w:sz w:val="13"/>
          <w:szCs w:val="13"/>
          <w:lang w:val="es-419"/>
        </w:rPr>
        <w:t>, 1 de abril de 2026.</w:t>
      </w:r>
      <w:hyperlink r:id="rId11" w:tgtFrame="_new" w:history="1">
        <w:r w:rsidRPr="00C6164B">
          <w:rPr>
            <w:rStyle w:val="Hyperlink"/>
            <w:rFonts w:ascii="Times New Roman" w:hAnsi="Times New Roman" w:cs="Times New Roman"/>
            <w:sz w:val="11"/>
            <w:szCs w:val="11"/>
            <w:lang w:val="es-419"/>
          </w:rPr>
          <w:t>https://listindiario.com</w:t>
        </w:r>
      </w:hyperlink>
    </w:p>
  </w:footnote>
  <w:footnote w:id="17">
    <w:p w14:paraId="0A8E692B" w14:textId="09C94CBB" w:rsidR="00D44EBE" w:rsidRPr="00D44EBE" w:rsidRDefault="00D44EBE" w:rsidP="00D44EBE">
      <w:pPr>
        <w:pStyle w:val="pdq2pgselectionanchorcontainer"/>
        <w:rPr>
          <w:color w:val="000000" w:themeColor="text1"/>
          <w:sz w:val="16"/>
          <w:szCs w:val="16"/>
          <w:lang w:val="es-419"/>
        </w:rPr>
      </w:pPr>
      <w:r>
        <w:rPr>
          <w:rStyle w:val="FootnoteReference"/>
        </w:rPr>
        <w:footnoteRef/>
      </w:r>
      <w:r w:rsidRPr="00D44EBE">
        <w:rPr>
          <w:lang w:val="es-419"/>
        </w:rPr>
        <w:t xml:space="preserve"> </w:t>
      </w:r>
      <w:r w:rsidR="00C6164B" w:rsidRPr="00C6164B">
        <w:rPr>
          <w:color w:val="000000" w:themeColor="text1"/>
          <w:sz w:val="13"/>
          <w:szCs w:val="13"/>
          <w:lang w:val="es-419"/>
        </w:rPr>
        <w:t>Congreso Nacional de la República Dominicana.</w:t>
      </w:r>
      <w:r w:rsidR="00C6164B" w:rsidRPr="00C6164B">
        <w:rPr>
          <w:rStyle w:val="apple-converted-space"/>
          <w:color w:val="000000" w:themeColor="text1"/>
          <w:sz w:val="13"/>
          <w:szCs w:val="13"/>
          <w:lang w:val="es-419"/>
        </w:rPr>
        <w:t> </w:t>
      </w:r>
      <w:r w:rsidR="00C6164B" w:rsidRPr="00C6164B">
        <w:rPr>
          <w:rStyle w:val="Emphasis"/>
          <w:color w:val="000000" w:themeColor="text1"/>
          <w:sz w:val="13"/>
          <w:szCs w:val="13"/>
          <w:lang w:val="es-419"/>
        </w:rPr>
        <w:t>Ley núm. 247-12 Orgánica de la Administración Pública</w:t>
      </w:r>
      <w:r w:rsidR="00C6164B" w:rsidRPr="00C6164B">
        <w:rPr>
          <w:color w:val="000000" w:themeColor="text1"/>
          <w:sz w:val="13"/>
          <w:szCs w:val="13"/>
          <w:lang w:val="es-419"/>
        </w:rPr>
        <w:t xml:space="preserve">. </w:t>
      </w:r>
      <w:r w:rsidR="00C6164B" w:rsidRPr="00C6164B">
        <w:rPr>
          <w:color w:val="000000" w:themeColor="text1"/>
          <w:sz w:val="13"/>
          <w:szCs w:val="13"/>
        </w:rPr>
        <w:t>9 de agosto de 2012.</w:t>
      </w:r>
      <w:r w:rsidR="00564D37" w:rsidRPr="00564D37">
        <w:t xml:space="preserve"> </w:t>
      </w:r>
      <w:hyperlink r:id="rId12" w:tgtFrame="_new" w:history="1">
        <w:r w:rsidR="00564D37" w:rsidRPr="00564D37">
          <w:rPr>
            <w:rStyle w:val="Hyperlink"/>
            <w:sz w:val="13"/>
            <w:szCs w:val="13"/>
          </w:rPr>
          <w:t>https://map.gob.do</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883B9A"/>
    <w:multiLevelType w:val="multilevel"/>
    <w:tmpl w:val="94F86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4934777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611"/>
    <w:rsid w:val="00055332"/>
    <w:rsid w:val="000A42F0"/>
    <w:rsid w:val="00170611"/>
    <w:rsid w:val="00453B9C"/>
    <w:rsid w:val="00564D37"/>
    <w:rsid w:val="00602460"/>
    <w:rsid w:val="0071595D"/>
    <w:rsid w:val="009254FD"/>
    <w:rsid w:val="00A502C7"/>
    <w:rsid w:val="00C6164B"/>
    <w:rsid w:val="00D44EBE"/>
    <w:rsid w:val="00D92C03"/>
    <w:rsid w:val="00E75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5FB939F"/>
  <w15:chartTrackingRefBased/>
  <w15:docId w15:val="{7C9F5FB5-08CC-264D-ACF0-BD2481E1D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6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06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06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06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706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06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6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6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6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6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06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06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06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706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06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6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6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611"/>
    <w:rPr>
      <w:rFonts w:eastAsiaTheme="majorEastAsia" w:cstheme="majorBidi"/>
      <w:color w:val="272727" w:themeColor="text1" w:themeTint="D8"/>
    </w:rPr>
  </w:style>
  <w:style w:type="paragraph" w:styleId="Title">
    <w:name w:val="Title"/>
    <w:basedOn w:val="Normal"/>
    <w:next w:val="Normal"/>
    <w:link w:val="TitleChar"/>
    <w:uiPriority w:val="10"/>
    <w:qFormat/>
    <w:rsid w:val="001706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06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06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06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0611"/>
    <w:pPr>
      <w:spacing w:before="160"/>
      <w:jc w:val="center"/>
    </w:pPr>
    <w:rPr>
      <w:i/>
      <w:iCs/>
      <w:color w:val="404040" w:themeColor="text1" w:themeTint="BF"/>
    </w:rPr>
  </w:style>
  <w:style w:type="character" w:customStyle="1" w:styleId="QuoteChar">
    <w:name w:val="Quote Char"/>
    <w:basedOn w:val="DefaultParagraphFont"/>
    <w:link w:val="Quote"/>
    <w:uiPriority w:val="29"/>
    <w:rsid w:val="00170611"/>
    <w:rPr>
      <w:i/>
      <w:iCs/>
      <w:color w:val="404040" w:themeColor="text1" w:themeTint="BF"/>
    </w:rPr>
  </w:style>
  <w:style w:type="paragraph" w:styleId="ListParagraph">
    <w:name w:val="List Paragraph"/>
    <w:basedOn w:val="Normal"/>
    <w:uiPriority w:val="34"/>
    <w:qFormat/>
    <w:rsid w:val="00170611"/>
    <w:pPr>
      <w:ind w:left="720"/>
      <w:contextualSpacing/>
    </w:pPr>
  </w:style>
  <w:style w:type="character" w:styleId="IntenseEmphasis">
    <w:name w:val="Intense Emphasis"/>
    <w:basedOn w:val="DefaultParagraphFont"/>
    <w:uiPriority w:val="21"/>
    <w:qFormat/>
    <w:rsid w:val="00170611"/>
    <w:rPr>
      <w:i/>
      <w:iCs/>
      <w:color w:val="0F4761" w:themeColor="accent1" w:themeShade="BF"/>
    </w:rPr>
  </w:style>
  <w:style w:type="paragraph" w:styleId="IntenseQuote">
    <w:name w:val="Intense Quote"/>
    <w:basedOn w:val="Normal"/>
    <w:next w:val="Normal"/>
    <w:link w:val="IntenseQuoteChar"/>
    <w:uiPriority w:val="30"/>
    <w:qFormat/>
    <w:rsid w:val="001706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0611"/>
    <w:rPr>
      <w:i/>
      <w:iCs/>
      <w:color w:val="0F4761" w:themeColor="accent1" w:themeShade="BF"/>
    </w:rPr>
  </w:style>
  <w:style w:type="character" w:styleId="IntenseReference">
    <w:name w:val="Intense Reference"/>
    <w:basedOn w:val="DefaultParagraphFont"/>
    <w:uiPriority w:val="32"/>
    <w:qFormat/>
    <w:rsid w:val="00170611"/>
    <w:rPr>
      <w:b/>
      <w:bCs/>
      <w:smallCaps/>
      <w:color w:val="0F4761" w:themeColor="accent1" w:themeShade="BF"/>
      <w:spacing w:val="5"/>
    </w:rPr>
  </w:style>
  <w:style w:type="paragraph" w:styleId="FootnoteText">
    <w:name w:val="footnote text"/>
    <w:basedOn w:val="Normal"/>
    <w:link w:val="FootnoteTextChar"/>
    <w:uiPriority w:val="99"/>
    <w:semiHidden/>
    <w:unhideWhenUsed/>
    <w:rsid w:val="00170611"/>
    <w:pPr>
      <w:spacing w:after="0" w:line="240" w:lineRule="auto"/>
    </w:pPr>
    <w:rPr>
      <w:rFonts w:ascii="Arial" w:eastAsia="Arial" w:hAnsi="Arial" w:cs="Arial"/>
      <w:kern w:val="0"/>
      <w:sz w:val="20"/>
      <w:szCs w:val="20"/>
      <w:lang w:val="en"/>
      <w14:ligatures w14:val="none"/>
    </w:rPr>
  </w:style>
  <w:style w:type="character" w:customStyle="1" w:styleId="FootnoteTextChar">
    <w:name w:val="Footnote Text Char"/>
    <w:basedOn w:val="DefaultParagraphFont"/>
    <w:link w:val="FootnoteText"/>
    <w:uiPriority w:val="99"/>
    <w:semiHidden/>
    <w:rsid w:val="00170611"/>
    <w:rPr>
      <w:rFonts w:ascii="Arial" w:eastAsia="Arial" w:hAnsi="Arial" w:cs="Arial"/>
      <w:kern w:val="0"/>
      <w:sz w:val="20"/>
      <w:szCs w:val="20"/>
      <w:lang w:val="en"/>
      <w14:ligatures w14:val="none"/>
    </w:rPr>
  </w:style>
  <w:style w:type="character" w:styleId="FootnoteReference">
    <w:name w:val="footnote reference"/>
    <w:basedOn w:val="DefaultParagraphFont"/>
    <w:uiPriority w:val="99"/>
    <w:semiHidden/>
    <w:unhideWhenUsed/>
    <w:rsid w:val="00170611"/>
    <w:rPr>
      <w:vertAlign w:val="superscript"/>
    </w:rPr>
  </w:style>
  <w:style w:type="paragraph" w:customStyle="1" w:styleId="pdq2pgselectionanchorcontainer">
    <w:name w:val="pdq2pg_selectionanchorcontainer"/>
    <w:basedOn w:val="Normal"/>
    <w:rsid w:val="001706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70611"/>
  </w:style>
  <w:style w:type="character" w:styleId="Emphasis">
    <w:name w:val="Emphasis"/>
    <w:basedOn w:val="DefaultParagraphFont"/>
    <w:uiPriority w:val="20"/>
    <w:qFormat/>
    <w:rsid w:val="00170611"/>
    <w:rPr>
      <w:i/>
      <w:iCs/>
    </w:rPr>
  </w:style>
  <w:style w:type="character" w:styleId="Hyperlink">
    <w:name w:val="Hyperlink"/>
    <w:basedOn w:val="DefaultParagraphFont"/>
    <w:uiPriority w:val="99"/>
    <w:unhideWhenUsed/>
    <w:rsid w:val="00170611"/>
    <w:rPr>
      <w:color w:val="0000FF"/>
      <w:u w:val="single"/>
    </w:rPr>
  </w:style>
  <w:style w:type="character" w:styleId="UnresolvedMention">
    <w:name w:val="Unresolved Mention"/>
    <w:basedOn w:val="DefaultParagraphFont"/>
    <w:uiPriority w:val="99"/>
    <w:semiHidden/>
    <w:unhideWhenUsed/>
    <w:rsid w:val="00A502C7"/>
    <w:rPr>
      <w:color w:val="605E5C"/>
      <w:shd w:val="clear" w:color="auto" w:fill="E1DFDD"/>
    </w:rPr>
  </w:style>
  <w:style w:type="paragraph" w:styleId="NormalWeb">
    <w:name w:val="Normal (Web)"/>
    <w:basedOn w:val="Normal"/>
    <w:uiPriority w:val="99"/>
    <w:semiHidden/>
    <w:unhideWhenUsed/>
    <w:rsid w:val="00564D3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
    <w:name w:val="ng-star-inserted"/>
    <w:basedOn w:val="DefaultParagraphFont"/>
    <w:rsid w:val="000A42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biblioteca.enj.org/" TargetMode="External"/><Relationship Id="rId3" Type="http://schemas.openxmlformats.org/officeDocument/2006/relationships/hyperlink" Target="https://www.poderjudicial.gob.do/documentos/PDF/codigos/Codigo_Penal.pdf" TargetMode="External"/><Relationship Id="rId7" Type="http://schemas.openxmlformats.org/officeDocument/2006/relationships/hyperlink" Target="https://tribunalconstitucional.gob.do/consultas/secretaria/sentencias/" TargetMode="External"/><Relationship Id="rId12" Type="http://schemas.openxmlformats.org/officeDocument/2006/relationships/hyperlink" Target="https://map.gob.do/" TargetMode="External"/><Relationship Id="rId2" Type="http://schemas.openxmlformats.org/officeDocument/2006/relationships/hyperlink" Target="https://enj.org/" TargetMode="External"/><Relationship Id="rId1" Type="http://schemas.openxmlformats.org/officeDocument/2006/relationships/hyperlink" Target="https://enj.org/" TargetMode="External"/><Relationship Id="rId6" Type="http://schemas.openxmlformats.org/officeDocument/2006/relationships/hyperlink" Target="https://enj.org/" TargetMode="External"/><Relationship Id="rId11" Type="http://schemas.openxmlformats.org/officeDocument/2006/relationships/hyperlink" Target="https://listindiario.com/" TargetMode="External"/><Relationship Id="rId5" Type="http://schemas.openxmlformats.org/officeDocument/2006/relationships/hyperlink" Target="https://biblioteca.enj.org/" TargetMode="External"/><Relationship Id="rId10" Type="http://schemas.openxmlformats.org/officeDocument/2006/relationships/hyperlink" Target="https://www.diariolibre.com/" TargetMode="External"/><Relationship Id="rId4" Type="http://schemas.openxmlformats.org/officeDocument/2006/relationships/hyperlink" Target="https://tribunalconstitucional.gob.do/consultas/secretaria/sentencias/" TargetMode="External"/><Relationship Id="rId9" Type="http://schemas.openxmlformats.org/officeDocument/2006/relationships/hyperlink" Target="https://gacetajudicial.com.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8E0A2C-7A4B-0145-8382-2141315BE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9</Pages>
  <Words>2407</Words>
  <Characters>13722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Caraballo</dc:creator>
  <cp:keywords/>
  <dc:description/>
  <cp:lastModifiedBy>Dennis Caraballo</cp:lastModifiedBy>
  <cp:revision>1</cp:revision>
  <cp:lastPrinted>2026-07-21T23:44:00Z</cp:lastPrinted>
  <dcterms:created xsi:type="dcterms:W3CDTF">2026-07-21T02:44:00Z</dcterms:created>
  <dcterms:modified xsi:type="dcterms:W3CDTF">2026-07-22T00:13:00Z</dcterms:modified>
</cp:coreProperties>
</file>