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532222" w14:textId="04BB41F8" w:rsidR="00BC34A1" w:rsidRPr="00BC34A1" w:rsidRDefault="0098351A" w:rsidP="00BC34A1">
      <w:pPr>
        <w:rPr>
          <w:rFonts w:ascii="Times New Roman" w:hAnsi="Times New Roman" w:cs="Times New Roman"/>
          <w:b/>
          <w:bCs/>
          <w:color w:val="000000"/>
          <w:sz w:val="32"/>
          <w:szCs w:val="32"/>
        </w:rPr>
      </w:pPr>
      <w:bookmarkStart w:id="0" w:name="título-provisional-del-ensayo"/>
      <w:bookmarkStart w:id="1" w:name="X696c8db83ca245dceea30fc347cac0cb7a6896c"/>
      <w:r w:rsidRPr="00BC34A1">
        <w:rPr>
          <w:rFonts w:ascii="Times New Roman" w:hAnsi="Times New Roman" w:cs="Times New Roman"/>
          <w:b/>
          <w:bCs/>
          <w:color w:val="000000"/>
          <w:sz w:val="32"/>
          <w:szCs w:val="32"/>
        </w:rPr>
        <w:t>El costo invisible d</w:t>
      </w:r>
      <w:r w:rsidR="006F20CF">
        <w:rPr>
          <w:rFonts w:ascii="Times New Roman" w:hAnsi="Times New Roman" w:cs="Times New Roman"/>
          <w:b/>
          <w:bCs/>
          <w:color w:val="000000"/>
          <w:sz w:val="32"/>
          <w:szCs w:val="32"/>
        </w:rPr>
        <w:t xml:space="preserve">e la corrupción; análisis del </w:t>
      </w:r>
      <w:r w:rsidRPr="00BC34A1">
        <w:rPr>
          <w:rFonts w:ascii="Times New Roman" w:hAnsi="Times New Roman" w:cs="Times New Roman"/>
          <w:b/>
          <w:bCs/>
          <w:color w:val="000000"/>
          <w:sz w:val="32"/>
          <w:szCs w:val="32"/>
        </w:rPr>
        <w:t>ocultamiento patrimonial mediante entes societarios</w:t>
      </w:r>
    </w:p>
    <w:p w14:paraId="634D8D69" w14:textId="77777777" w:rsidR="00BC34A1" w:rsidRDefault="00BC34A1" w:rsidP="0098351A">
      <w:pPr>
        <w:jc w:val="center"/>
        <w:rPr>
          <w:rFonts w:ascii="Book Antiqua" w:hAnsi="Book Antiqua"/>
          <w:b/>
          <w:bCs/>
          <w:color w:val="000000"/>
          <w:sz w:val="32"/>
          <w:szCs w:val="32"/>
        </w:rPr>
      </w:pPr>
    </w:p>
    <w:p w14:paraId="4926E79E" w14:textId="77777777" w:rsidR="00BC34A1" w:rsidRDefault="00BC34A1" w:rsidP="00BC34A1">
      <w:pPr>
        <w:rPr>
          <w:rFonts w:ascii="Book Antiqua" w:hAnsi="Book Antiqua"/>
          <w:b/>
          <w:bCs/>
          <w:color w:val="000000"/>
          <w:sz w:val="32"/>
          <w:szCs w:val="32"/>
        </w:rPr>
      </w:pPr>
    </w:p>
    <w:p w14:paraId="7F4A82F4" w14:textId="460FE264" w:rsidR="00146588" w:rsidRPr="00146588" w:rsidRDefault="00BC34A1" w:rsidP="00146588">
      <w:pPr>
        <w:spacing w:after="0"/>
        <w:rPr>
          <w:rFonts w:ascii="Times New Roman" w:hAnsi="Times New Roman" w:cs="Times New Roman"/>
          <w:b/>
          <w:bCs/>
          <w:color w:val="000000" w:themeColor="text1"/>
        </w:rPr>
      </w:pPr>
      <w:r w:rsidRPr="00146588">
        <w:rPr>
          <w:rFonts w:ascii="Times New Roman" w:hAnsi="Times New Roman" w:cs="Times New Roman"/>
          <w:b/>
          <w:bCs/>
          <w:color w:val="000000" w:themeColor="text1"/>
        </w:rPr>
        <w:t>Mia Luna Mata</w:t>
      </w:r>
      <w:r w:rsidR="00146588" w:rsidRPr="00146588">
        <w:rPr>
          <w:rFonts w:ascii="Times New Roman" w:hAnsi="Times New Roman" w:cs="Times New Roman"/>
          <w:b/>
          <w:bCs/>
          <w:color w:val="000000" w:themeColor="text1"/>
        </w:rPr>
        <w:t xml:space="preserve"> Gómez</w:t>
      </w:r>
    </w:p>
    <w:p w14:paraId="203C1960" w14:textId="5A04AC91" w:rsidR="00BC34A1" w:rsidRPr="00146588" w:rsidRDefault="00146588" w:rsidP="00146588">
      <w:pPr>
        <w:pStyle w:val="Prrafodelista"/>
        <w:numPr>
          <w:ilvl w:val="0"/>
          <w:numId w:val="5"/>
        </w:numPr>
        <w:spacing w:after="0"/>
        <w:ind w:left="0"/>
        <w:rPr>
          <w:rFonts w:ascii="Times New Roman" w:hAnsi="Times New Roman" w:cs="Times New Roman"/>
          <w:bCs/>
          <w:color w:val="000000" w:themeColor="text1"/>
          <w:sz w:val="22"/>
          <w:szCs w:val="22"/>
        </w:rPr>
      </w:pPr>
      <w:r>
        <w:rPr>
          <w:rFonts w:ascii="Times New Roman" w:hAnsi="Times New Roman" w:cs="Times New Roman"/>
          <w:bCs/>
          <w:color w:val="000000" w:themeColor="text1"/>
          <w:sz w:val="22"/>
          <w:szCs w:val="22"/>
          <w:lang w:val="es-US"/>
        </w:rPr>
        <w:t>E</w:t>
      </w:r>
      <w:r w:rsidRPr="00146588">
        <w:rPr>
          <w:rFonts w:ascii="Times New Roman" w:hAnsi="Times New Roman" w:cs="Times New Roman"/>
          <w:bCs/>
          <w:color w:val="000000" w:themeColor="text1"/>
          <w:sz w:val="22"/>
          <w:szCs w:val="22"/>
          <w:lang w:val="es-US"/>
        </w:rPr>
        <w:t>studiante de la Licenciatura en Derecho en la Pontificia Universidad Católica Madre y Maestra (PUCMM), Santo Domingo, República Dominicana. Sus áreas de interés académico comprenden el Derecho Penal, el Derecho Procesal. Agradezco a mi madre, por su amor, apoyo incondicional y por inspirarme a perseverar en cada etapa de mi formación.</w:t>
      </w:r>
    </w:p>
    <w:p w14:paraId="0DA18B1A" w14:textId="27BA96EB" w:rsidR="00BC34A1" w:rsidRDefault="00BC34A1" w:rsidP="0098351A">
      <w:pPr>
        <w:jc w:val="center"/>
        <w:rPr>
          <w:rFonts w:ascii="Book Antiqua" w:hAnsi="Book Antiqua"/>
          <w:bCs/>
          <w:color w:val="000000"/>
          <w:sz w:val="20"/>
          <w:szCs w:val="20"/>
        </w:rPr>
      </w:pPr>
    </w:p>
    <w:p w14:paraId="01258865" w14:textId="77777777" w:rsidR="00BC34A1" w:rsidRPr="00BC34A1" w:rsidRDefault="00BC34A1" w:rsidP="00BC34A1">
      <w:pPr>
        <w:spacing w:after="0"/>
        <w:jc w:val="both"/>
        <w:rPr>
          <w:rFonts w:ascii="Book Antiqua" w:hAnsi="Book Antiqua"/>
          <w:b/>
          <w:bCs/>
          <w:color w:val="000000" w:themeColor="text1"/>
          <w:sz w:val="20"/>
          <w:szCs w:val="20"/>
        </w:rPr>
      </w:pPr>
      <w:r w:rsidRPr="00BC34A1">
        <w:rPr>
          <w:rFonts w:ascii="Book Antiqua" w:hAnsi="Book Antiqua"/>
          <w:b/>
          <w:bCs/>
          <w:color w:val="000000" w:themeColor="text1"/>
          <w:sz w:val="20"/>
          <w:szCs w:val="20"/>
        </w:rPr>
        <w:t>RESUMEN</w:t>
      </w:r>
    </w:p>
    <w:p w14:paraId="7A8A4543" w14:textId="333F85C5" w:rsidR="00BC34A1" w:rsidRDefault="00BC34A1" w:rsidP="00BC34A1">
      <w:pPr>
        <w:spacing w:after="0"/>
        <w:jc w:val="both"/>
        <w:rPr>
          <w:rFonts w:ascii="Book Antiqua" w:hAnsi="Book Antiqua"/>
          <w:bCs/>
          <w:color w:val="000000"/>
          <w:sz w:val="20"/>
          <w:szCs w:val="20"/>
        </w:rPr>
      </w:pPr>
      <w:r w:rsidRPr="00BC34A1">
        <w:rPr>
          <w:rFonts w:ascii="Book Antiqua" w:hAnsi="Book Antiqua"/>
          <w:bCs/>
          <w:color w:val="000000"/>
          <w:sz w:val="20"/>
          <w:szCs w:val="20"/>
        </w:rPr>
        <w:t>La corrupción administrativa constituye uno de los principales desafíos para la protección del patrimonio público y el fortalecimiento del Estado de derecho. El presente ensayo analiza el ocultamiento patrimonial mediante la instrumentalización de entes societarios como uno de los mecanismos utilizados para dificultar la detección y recuperación de recursos provenientes de actos de corrupción administrativa. A partir del análisis de la doctrina especializada, del marco jurídico dominicano y de casos recientes de corrupción, se examinan las debilidades de los mecanismos de control institucional y la necesidad de fortalecer las medidas preventivas dirigidas a la protección del patrimonio estatal. Finalmente, se concluye que la eficacia en la lucha contra la corrupción depende del fortalecimiento de los mecanismos de control y de la adopción de estrategias preventivas orientadas a</w:t>
      </w:r>
      <w:r>
        <w:rPr>
          <w:rFonts w:ascii="Book Antiqua" w:hAnsi="Book Antiqua"/>
          <w:bCs/>
          <w:color w:val="000000"/>
          <w:sz w:val="20"/>
          <w:szCs w:val="20"/>
        </w:rPr>
        <w:t xml:space="preserve"> proteger el patrimonio público.</w:t>
      </w:r>
    </w:p>
    <w:p w14:paraId="02E957F5" w14:textId="73C30320" w:rsidR="00BC34A1" w:rsidRDefault="00BC34A1" w:rsidP="00BC34A1">
      <w:pPr>
        <w:spacing w:after="0"/>
        <w:jc w:val="both"/>
        <w:rPr>
          <w:rFonts w:ascii="Book Antiqua" w:hAnsi="Book Antiqua"/>
          <w:b/>
          <w:bCs/>
          <w:color w:val="000000"/>
          <w:sz w:val="20"/>
          <w:szCs w:val="20"/>
        </w:rPr>
      </w:pPr>
      <w:r w:rsidRPr="00BC34A1">
        <w:rPr>
          <w:rFonts w:ascii="Book Antiqua" w:hAnsi="Book Antiqua"/>
          <w:b/>
          <w:bCs/>
          <w:color w:val="000000"/>
          <w:sz w:val="20"/>
          <w:szCs w:val="20"/>
        </w:rPr>
        <w:t>ABSTRACT</w:t>
      </w:r>
    </w:p>
    <w:p w14:paraId="1B5BE634" w14:textId="6AF35D87" w:rsidR="00BC34A1" w:rsidRPr="00BC34A1" w:rsidRDefault="00BC34A1" w:rsidP="00BC34A1">
      <w:pPr>
        <w:spacing w:after="0"/>
        <w:jc w:val="both"/>
        <w:rPr>
          <w:rFonts w:ascii="Book Antiqua" w:hAnsi="Book Antiqua"/>
          <w:bCs/>
          <w:color w:val="000000" w:themeColor="text1"/>
          <w:sz w:val="20"/>
          <w:szCs w:val="20"/>
        </w:rPr>
      </w:pPr>
      <w:r w:rsidRPr="00BC34A1">
        <w:rPr>
          <w:rFonts w:ascii="Book Antiqua" w:hAnsi="Book Antiqua"/>
          <w:bCs/>
          <w:color w:val="000000" w:themeColor="text1"/>
          <w:sz w:val="20"/>
          <w:szCs w:val="20"/>
        </w:rPr>
        <w:t>Administrative corruption constitutes one of the principal challenges to the protection of public assets and the strengthening of the rule of law. This essay examines asset concealment through the misuse of corporate entities as one of the mechanisms employed to hinder the detection and recovery of resources derived from acts of administrative corruption. Based on an analysis of specialized legal scholarship, the Dominican legal framework, and recent corruption cases, the study explores the weaknesses of institutional control mechanisms and the need to strengthen preventive measures aimed at safeguarding public assets. Finally, it concludes that the effectiveness of anti-corruption efforts depends on strengthening oversight mechanisms and adopting preventive strategies designed to protect public property.</w:t>
      </w:r>
    </w:p>
    <w:p w14:paraId="7128FDFC" w14:textId="0B24A48D" w:rsidR="00BC34A1" w:rsidRDefault="00BC34A1" w:rsidP="00BC34A1">
      <w:pPr>
        <w:rPr>
          <w:rFonts w:ascii="Book Antiqua" w:hAnsi="Book Antiqua"/>
          <w:bCs/>
          <w:color w:val="000000"/>
          <w:sz w:val="20"/>
          <w:szCs w:val="20"/>
        </w:rPr>
      </w:pPr>
    </w:p>
    <w:p w14:paraId="6809F1A3" w14:textId="1C5C8BEF" w:rsidR="00BC34A1" w:rsidRDefault="00BC34A1" w:rsidP="00BC34A1">
      <w:pPr>
        <w:rPr>
          <w:rFonts w:ascii="Book Antiqua" w:hAnsi="Book Antiqua"/>
          <w:bCs/>
          <w:color w:val="000000"/>
          <w:sz w:val="20"/>
          <w:szCs w:val="20"/>
        </w:rPr>
      </w:pPr>
    </w:p>
    <w:p w14:paraId="65C2DAAF" w14:textId="58F882D0" w:rsidR="0098351A" w:rsidRPr="00BC34A1" w:rsidRDefault="00BC34A1" w:rsidP="00BC34A1">
      <w:pPr>
        <w:rPr>
          <w:rFonts w:ascii="Book Antiqua" w:hAnsi="Book Antiqua"/>
          <w:bCs/>
          <w:color w:val="000000"/>
          <w:sz w:val="20"/>
          <w:szCs w:val="20"/>
        </w:rPr>
      </w:pPr>
      <w:r w:rsidRPr="00BC34A1">
        <w:rPr>
          <w:rFonts w:ascii="Book Antiqua" w:hAnsi="Book Antiqua"/>
          <w:b/>
          <w:bCs/>
          <w:color w:val="000000"/>
          <w:sz w:val="20"/>
          <w:szCs w:val="20"/>
        </w:rPr>
        <w:t>Palabras clave:</w:t>
      </w:r>
      <w:r w:rsidRPr="00BC34A1">
        <w:rPr>
          <w:rFonts w:ascii="Book Antiqua" w:hAnsi="Book Antiqua"/>
          <w:bCs/>
          <w:color w:val="000000"/>
          <w:sz w:val="20"/>
          <w:szCs w:val="20"/>
        </w:rPr>
        <w:t xml:space="preserve"> corrupción administrativa; ocultamiento patrimonial; entes societarios; patrimonio público; control interno.</w:t>
      </w:r>
      <w:r w:rsidR="0098351A" w:rsidRPr="00BC34A1">
        <w:rPr>
          <w:rFonts w:ascii="Book Antiqua" w:hAnsi="Book Antiqua"/>
          <w:bCs/>
          <w:color w:val="000000"/>
          <w:sz w:val="20"/>
          <w:szCs w:val="20"/>
        </w:rPr>
        <w:br w:type="page"/>
      </w:r>
    </w:p>
    <w:p w14:paraId="3AC5A77C" w14:textId="754B532D" w:rsidR="003C1D54" w:rsidRPr="004F0FBB" w:rsidRDefault="00C11D2C" w:rsidP="004F0FBB">
      <w:pPr>
        <w:jc w:val="center"/>
        <w:rPr>
          <w:rFonts w:ascii="Book Antiqua" w:hAnsi="Book Antiqua"/>
          <w:b/>
          <w:bCs/>
          <w:color w:val="000000"/>
        </w:rPr>
      </w:pPr>
      <w:r w:rsidRPr="004F0FBB">
        <w:rPr>
          <w:rFonts w:ascii="Book Antiqua" w:hAnsi="Book Antiqua"/>
          <w:b/>
          <w:bCs/>
          <w:color w:val="000000"/>
        </w:rPr>
        <w:lastRenderedPageBreak/>
        <w:t xml:space="preserve">El costo invisible de </w:t>
      </w:r>
      <w:r w:rsidR="00DC18BE">
        <w:rPr>
          <w:rFonts w:ascii="Book Antiqua" w:hAnsi="Book Antiqua"/>
          <w:b/>
          <w:bCs/>
          <w:color w:val="000000"/>
        </w:rPr>
        <w:t xml:space="preserve">la </w:t>
      </w:r>
      <w:r w:rsidRPr="004F0FBB">
        <w:rPr>
          <w:rFonts w:ascii="Book Antiqua" w:hAnsi="Book Antiqua"/>
          <w:b/>
          <w:bCs/>
          <w:color w:val="000000"/>
        </w:rPr>
        <w:t xml:space="preserve">corrupción; análisis </w:t>
      </w:r>
      <w:r w:rsidR="009751A3" w:rsidRPr="004F0FBB">
        <w:rPr>
          <w:rFonts w:ascii="Book Antiqua" w:hAnsi="Book Antiqua"/>
          <w:b/>
          <w:bCs/>
          <w:color w:val="000000"/>
        </w:rPr>
        <w:t>de el ocultamiento patrimonial mediante entes societarios</w:t>
      </w:r>
      <w:bookmarkStart w:id="2" w:name="problema-de-investigación"/>
      <w:bookmarkEnd w:id="0"/>
    </w:p>
    <w:p w14:paraId="3882845F" w14:textId="77777777" w:rsidR="004F0FBB" w:rsidRPr="00303558" w:rsidRDefault="004F0FBB" w:rsidP="004F0FBB">
      <w:pPr>
        <w:jc w:val="center"/>
        <w:rPr>
          <w:rFonts w:ascii="Book Antiqua" w:hAnsi="Book Antiqua"/>
          <w:sz w:val="32"/>
          <w:szCs w:val="32"/>
        </w:rPr>
      </w:pPr>
    </w:p>
    <w:p w14:paraId="6C4C182D" w14:textId="3DA44DC1" w:rsidR="009751A3" w:rsidRDefault="004E219A" w:rsidP="009751A3">
      <w:pPr>
        <w:rPr>
          <w:rFonts w:ascii="Book Antiqua" w:hAnsi="Book Antiqua"/>
          <w:bCs/>
          <w:color w:val="000000"/>
        </w:rPr>
      </w:pPr>
      <w:bookmarkStart w:id="3" w:name="introducción"/>
      <w:bookmarkStart w:id="4" w:name="redacción"/>
      <w:bookmarkEnd w:id="1"/>
      <w:bookmarkEnd w:id="2"/>
      <w:r>
        <w:rPr>
          <w:rFonts w:ascii="Book Antiqua" w:hAnsi="Book Antiqua"/>
          <w:bCs/>
          <w:color w:val="000000"/>
        </w:rPr>
        <w:t xml:space="preserve">Durante los últimos años, la corrupción administrativa ha generado importantes repercusiones económicas y sociales en la Republica dominicana, reflejadas en las limitaciones de los servicios públicos, el uso ineficiente de los recursos estatales y el impacto que ello produce sobre las condiciones de vida de la población. </w:t>
      </w:r>
      <w:r w:rsidR="009751A3">
        <w:rPr>
          <w:rFonts w:ascii="Book Antiqua" w:hAnsi="Book Antiqua"/>
          <w:bCs/>
          <w:color w:val="000000"/>
        </w:rPr>
        <w:t xml:space="preserve">Objetivamente </w:t>
      </w:r>
      <w:r w:rsidR="00372DCA">
        <w:rPr>
          <w:rFonts w:ascii="Book Antiqua" w:hAnsi="Book Antiqua"/>
          <w:bCs/>
          <w:color w:val="000000"/>
        </w:rPr>
        <w:t xml:space="preserve">se observa este suceso </w:t>
      </w:r>
      <w:r w:rsidR="009751A3">
        <w:rPr>
          <w:rFonts w:ascii="Book Antiqua" w:hAnsi="Book Antiqua"/>
          <w:bCs/>
          <w:color w:val="000000"/>
        </w:rPr>
        <w:t xml:space="preserve">como un producto de la inflación y de la guerra que está sucediendo en el medio oriente que puede ser parte </w:t>
      </w:r>
      <w:r w:rsidR="006E1BDE">
        <w:rPr>
          <w:rFonts w:ascii="Book Antiqua" w:hAnsi="Book Antiqua"/>
          <w:bCs/>
          <w:color w:val="000000"/>
        </w:rPr>
        <w:t>de,</w:t>
      </w:r>
      <w:r w:rsidR="009751A3">
        <w:rPr>
          <w:rFonts w:ascii="Book Antiqua" w:hAnsi="Book Antiqua"/>
          <w:bCs/>
          <w:color w:val="000000"/>
        </w:rPr>
        <w:t xml:space="preserve"> pero no guarda la razón a un punto que sea inoponible porque subjetivamente </w:t>
      </w:r>
      <w:r w:rsidR="006E1BDE">
        <w:rPr>
          <w:rFonts w:ascii="Book Antiqua" w:hAnsi="Book Antiqua"/>
          <w:bCs/>
          <w:color w:val="000000"/>
        </w:rPr>
        <w:t>hay otros factores iguales de masivos que afectan la economía del país como el desvió de fondos de instituciones mediante el fraude administrativo.</w:t>
      </w:r>
    </w:p>
    <w:p w14:paraId="7B54A34C" w14:textId="01E52748" w:rsidR="006E1BDE" w:rsidRDefault="006E1BDE" w:rsidP="009751A3">
      <w:pPr>
        <w:rPr>
          <w:rFonts w:ascii="Book Antiqua" w:hAnsi="Book Antiqua"/>
        </w:rPr>
      </w:pPr>
      <w:r>
        <w:rPr>
          <w:rFonts w:ascii="Book Antiqua" w:hAnsi="Book Antiqua"/>
        </w:rPr>
        <w:t>El problema radica en que realmente esto está sucediendo</w:t>
      </w:r>
      <w:r w:rsidR="00372DCA">
        <w:rPr>
          <w:rFonts w:ascii="Book Antiqua" w:hAnsi="Book Antiqua"/>
        </w:rPr>
        <w:t xml:space="preserve"> a la vista de la sociedad y</w:t>
      </w:r>
      <w:r>
        <w:rPr>
          <w:rFonts w:ascii="Book Antiqua" w:hAnsi="Book Antiqua"/>
        </w:rPr>
        <w:t xml:space="preserve"> </w:t>
      </w:r>
      <w:bookmarkStart w:id="5" w:name="_GoBack"/>
      <w:bookmarkEnd w:id="5"/>
      <w:r>
        <w:rPr>
          <w:rFonts w:ascii="Book Antiqua" w:hAnsi="Book Antiqua"/>
        </w:rPr>
        <w:t xml:space="preserve">se supone que existen instituciones específicamente creadas para regular el uso correcto de los fondos y el manejo integro de la administración como el (PEPCA) órgano cuyos salarios se deducen de todos los impuestos que </w:t>
      </w:r>
      <w:r w:rsidR="00372DCA">
        <w:rPr>
          <w:rFonts w:ascii="Book Antiqua" w:hAnsi="Book Antiqua"/>
        </w:rPr>
        <w:t>pagan diariamente los ciudadanos</w:t>
      </w:r>
      <w:r>
        <w:rPr>
          <w:rFonts w:ascii="Book Antiqua" w:hAnsi="Book Antiqua"/>
        </w:rPr>
        <w:t xml:space="preserve">. Sin </w:t>
      </w:r>
      <w:r w:rsidR="00372DCA">
        <w:rPr>
          <w:rFonts w:ascii="Book Antiqua" w:hAnsi="Book Antiqua"/>
        </w:rPr>
        <w:t>embargo,</w:t>
      </w:r>
      <w:r w:rsidR="004E219A">
        <w:rPr>
          <w:rFonts w:ascii="Book Antiqua" w:hAnsi="Book Antiqua"/>
        </w:rPr>
        <w:t xml:space="preserve"> el verdadero cuestionamiento radica en determinar cómo resulta posible que, pese a la existencia de múltiples mecanismos de control y fiscalización, se produzcan desvíos millonarios de fondos públicos sin que estos sean detectados oportunamente o recuperados de manera eficaz. Esta interrogante conduce al análisis de los mecanismos empleados para ocultar el patrimonio proveniente de actos de corrupción administrativa, entre ellos la utilización de estructuras societarias. El caso SENASA constituye uno de los ejemplos recientes que evidencia la materialización de estas prácticas.</w:t>
      </w:r>
    </w:p>
    <w:p w14:paraId="7CABBD0C" w14:textId="16FC1225" w:rsidR="00084EDB" w:rsidRDefault="00084EDB" w:rsidP="009751A3">
      <w:pPr>
        <w:rPr>
          <w:rFonts w:ascii="Book Antiqua" w:hAnsi="Book Antiqua"/>
        </w:rPr>
      </w:pPr>
      <w:r>
        <w:rPr>
          <w:rFonts w:ascii="Book Antiqua" w:hAnsi="Book Antiqua"/>
        </w:rPr>
        <w:t xml:space="preserve">Es importante porque </w:t>
      </w:r>
      <w:r w:rsidR="00CB19B5">
        <w:rPr>
          <w:rFonts w:ascii="Book Antiqua" w:hAnsi="Book Antiqua"/>
        </w:rPr>
        <w:t>la sociedad carece de información sobre estas instituciones sin mencionar que los principales imputad</w:t>
      </w:r>
      <w:r w:rsidR="003338D0">
        <w:rPr>
          <w:rFonts w:ascii="Book Antiqua" w:hAnsi="Book Antiqua"/>
        </w:rPr>
        <w:t xml:space="preserve">os de estos casos Alexis Medina </w:t>
      </w:r>
      <w:r w:rsidR="00CB19B5">
        <w:rPr>
          <w:rFonts w:ascii="Book Antiqua" w:hAnsi="Book Antiqua"/>
        </w:rPr>
        <w:t>Sánchez, Adan Beroni Cáceres y Jean Alain Rodríguez llegaron a la presidencia de estas instituciones mediante la política</w:t>
      </w:r>
      <w:r w:rsidR="0056250E">
        <w:rPr>
          <w:rStyle w:val="Refdenotaalpie"/>
          <w:rFonts w:ascii="Book Antiqua" w:hAnsi="Book Antiqua"/>
        </w:rPr>
        <w:footnoteReference w:id="1"/>
      </w:r>
      <w:r w:rsidR="00CB19B5">
        <w:rPr>
          <w:rFonts w:ascii="Book Antiqua" w:hAnsi="Book Antiqua"/>
        </w:rPr>
        <w:t xml:space="preserve"> ya que no se prueba una trayectoria jurídica ni valores éticos en su formación que puedan demostrar que si merecen esos ascensos pero esa es otra cuestionante, ¿cuáles son los medios utilizados para ascender en República Dominicana? Todas estas interrogantes generan interés porque todos esos desfalcos </w:t>
      </w:r>
      <w:r w:rsidR="00372DCA">
        <w:rPr>
          <w:rFonts w:ascii="Book Antiqua" w:hAnsi="Book Antiqua"/>
        </w:rPr>
        <w:t xml:space="preserve">afecta principalmente </w:t>
      </w:r>
      <w:r w:rsidR="00CB19B5">
        <w:rPr>
          <w:rFonts w:ascii="Book Antiqua" w:hAnsi="Book Antiqua"/>
        </w:rPr>
        <w:t xml:space="preserve">a la clase baja y media baja que son el % </w:t>
      </w:r>
      <w:r w:rsidR="003338D0">
        <w:rPr>
          <w:rFonts w:ascii="Book Antiqua" w:hAnsi="Book Antiqua"/>
        </w:rPr>
        <w:t>más</w:t>
      </w:r>
      <w:r w:rsidR="00CB19B5">
        <w:rPr>
          <w:rFonts w:ascii="Book Antiqua" w:hAnsi="Book Antiqua"/>
        </w:rPr>
        <w:t xml:space="preserve"> amplio de habitantes en la república</w:t>
      </w:r>
      <w:r w:rsidR="00CB19B5">
        <w:rPr>
          <w:rStyle w:val="Refdenotaalpie"/>
          <w:rFonts w:ascii="Book Antiqua" w:hAnsi="Book Antiqua"/>
        </w:rPr>
        <w:footnoteReference w:id="2"/>
      </w:r>
      <w:r w:rsidR="00CB19B5">
        <w:rPr>
          <w:rFonts w:ascii="Book Antiqua" w:hAnsi="Book Antiqua"/>
        </w:rPr>
        <w:t xml:space="preserve">. </w:t>
      </w:r>
    </w:p>
    <w:p w14:paraId="37E9F5E4" w14:textId="05BFF5A4" w:rsidR="009751A3" w:rsidRDefault="00372DCA" w:rsidP="009751A3">
      <w:pPr>
        <w:pStyle w:val="Textoindependiente"/>
        <w:rPr>
          <w:rFonts w:ascii="Book Antiqua" w:hAnsi="Book Antiqua"/>
        </w:rPr>
      </w:pPr>
      <w:r>
        <w:rPr>
          <w:rFonts w:ascii="Book Antiqua" w:hAnsi="Book Antiqua"/>
        </w:rPr>
        <w:t>La</w:t>
      </w:r>
      <w:r w:rsidR="0056250E" w:rsidRPr="0056250E">
        <w:rPr>
          <w:rFonts w:ascii="Book Antiqua" w:hAnsi="Book Antiqua"/>
        </w:rPr>
        <w:t xml:space="preserve"> postura</w:t>
      </w:r>
      <w:r>
        <w:rPr>
          <w:rFonts w:ascii="Book Antiqua" w:hAnsi="Book Antiqua"/>
        </w:rPr>
        <w:t xml:space="preserve"> de este ensayo</w:t>
      </w:r>
      <w:r w:rsidR="0056250E" w:rsidRPr="0056250E">
        <w:rPr>
          <w:rFonts w:ascii="Book Antiqua" w:hAnsi="Book Antiqua"/>
        </w:rPr>
        <w:t xml:space="preserve"> se basa en que </w:t>
      </w:r>
      <w:r w:rsidR="0056250E">
        <w:rPr>
          <w:rFonts w:ascii="Book Antiqua" w:hAnsi="Book Antiqua"/>
        </w:rPr>
        <w:t>l</w:t>
      </w:r>
      <w:r w:rsidR="0056250E" w:rsidRPr="0056250E">
        <w:rPr>
          <w:rFonts w:ascii="Book Antiqua" w:hAnsi="Book Antiqua"/>
        </w:rPr>
        <w:t xml:space="preserve">a corrupción administrativa ha dejado de ser un fenómeno basado únicamente en la actuación individual de funcionarios </w:t>
      </w:r>
      <w:r w:rsidR="0056250E" w:rsidRPr="0056250E">
        <w:rPr>
          <w:rFonts w:ascii="Book Antiqua" w:hAnsi="Book Antiqua"/>
        </w:rPr>
        <w:lastRenderedPageBreak/>
        <w:t>públicos para convertirse en un esquema organizado que utiliza estructuras societarias como mecanismo de ocultación patrimonial y desvío de fondos públicos.</w:t>
      </w:r>
      <w:r w:rsidR="0056250E">
        <w:rPr>
          <w:rFonts w:ascii="Book Antiqua" w:hAnsi="Book Antiqua"/>
        </w:rPr>
        <w:t xml:space="preserve"> Y que este es sumamente fácil porque no existe una organización que tenga una vigilancia constante de las instituciones </w:t>
      </w:r>
      <w:r w:rsidR="00683EBF">
        <w:rPr>
          <w:rFonts w:ascii="Book Antiqua" w:hAnsi="Book Antiqua"/>
        </w:rPr>
        <w:t>públicas</w:t>
      </w:r>
      <w:r w:rsidR="0056250E">
        <w:rPr>
          <w:rFonts w:ascii="Book Antiqua" w:hAnsi="Book Antiqua"/>
        </w:rPr>
        <w:t>.</w:t>
      </w:r>
    </w:p>
    <w:p w14:paraId="6DDC0443" w14:textId="197393E6" w:rsidR="003C1D54" w:rsidRDefault="00683EBF" w:rsidP="00372DCA">
      <w:pPr>
        <w:pStyle w:val="Textoindependiente"/>
        <w:rPr>
          <w:rFonts w:ascii="Book Antiqua" w:hAnsi="Book Antiqua"/>
        </w:rPr>
      </w:pPr>
      <w:r>
        <w:rPr>
          <w:rFonts w:ascii="Book Antiqua" w:hAnsi="Book Antiqua"/>
        </w:rPr>
        <w:t xml:space="preserve">El objetivo de este ensayo es básicamente </w:t>
      </w:r>
      <w:r w:rsidR="00372DCA">
        <w:rPr>
          <w:rFonts w:ascii="Book Antiqua" w:hAnsi="Book Antiqua"/>
        </w:rPr>
        <w:t>d</w:t>
      </w:r>
      <w:r w:rsidRPr="00683EBF">
        <w:rPr>
          <w:rFonts w:ascii="Book Antiqua" w:hAnsi="Book Antiqua"/>
        </w:rPr>
        <w:t>eterminar de qué manera la instrumentalización de entes societarios ha contribuido al desvío de fondos públicos en los principales cas</w:t>
      </w:r>
      <w:r w:rsidR="00372DCA">
        <w:rPr>
          <w:rFonts w:ascii="Book Antiqua" w:hAnsi="Book Antiqua"/>
        </w:rPr>
        <w:t>os de corrupción administrativa.</w:t>
      </w:r>
    </w:p>
    <w:p w14:paraId="0C614219" w14:textId="010AEC77" w:rsidR="005E6859" w:rsidRPr="005E6859" w:rsidRDefault="005E6859" w:rsidP="005E6859">
      <w:pPr>
        <w:rPr>
          <w:rFonts w:ascii="Book Antiqua" w:hAnsi="Book Antiqua"/>
        </w:rPr>
      </w:pPr>
      <w:r w:rsidRPr="005E6859">
        <w:rPr>
          <w:rFonts w:ascii="Book Antiqua" w:hAnsi="Book Antiqua"/>
        </w:rPr>
        <w:t>El poder otorgado a los presidentes de las instituciones puede observarse demasiado amplio y sin ninguna limitante administrativa que esté presente, significa que el poder tiende a corromper, y el poder absoluto corrompe absolutamente</w:t>
      </w:r>
      <w:r>
        <w:rPr>
          <w:rStyle w:val="Refdenotaalpie"/>
          <w:rFonts w:ascii="Book Antiqua" w:hAnsi="Book Antiqua"/>
        </w:rPr>
        <w:footnoteReference w:id="3"/>
      </w:r>
      <w:r w:rsidR="00C424A3">
        <w:rPr>
          <w:rFonts w:ascii="Book Antiqua" w:hAnsi="Book Antiqua"/>
        </w:rPr>
        <w:t xml:space="preserve">. Es fundamental porque otorgar poderes sin un órgano competente </w:t>
      </w:r>
      <w:r w:rsidR="00C424A3" w:rsidRPr="00C424A3">
        <w:rPr>
          <w:rFonts w:ascii="Book Antiqua" w:hAnsi="Book Antiqua"/>
        </w:rPr>
        <w:t>que verifique su uso correcto es casi un cr</w:t>
      </w:r>
      <w:r w:rsidR="003338D0">
        <w:rPr>
          <w:rFonts w:ascii="Book Antiqua" w:hAnsi="Book Antiqua"/>
        </w:rPr>
        <w:t>imen perpetuo. En el caso SENASA</w:t>
      </w:r>
      <w:r w:rsidR="00C424A3" w:rsidRPr="00C424A3">
        <w:rPr>
          <w:rFonts w:ascii="Book Antiqua" w:hAnsi="Book Antiqua"/>
        </w:rPr>
        <w:t xml:space="preserve"> la acusación que presento el ministerio publico versaba sobre entramado que combinó fraude administrativo, </w:t>
      </w:r>
      <w:r w:rsidR="00C424A3" w:rsidRPr="00C424A3">
        <w:rPr>
          <w:rFonts w:ascii="Book Antiqua" w:hAnsi="Book Antiqua"/>
          <w:bCs/>
        </w:rPr>
        <w:t>corrupción</w:t>
      </w:r>
      <w:r w:rsidR="00C424A3" w:rsidRPr="00C424A3">
        <w:rPr>
          <w:rFonts w:ascii="Book Antiqua" w:hAnsi="Book Antiqua"/>
        </w:rPr>
        <w:t>, falsificación documental y </w:t>
      </w:r>
      <w:r w:rsidR="00C424A3" w:rsidRPr="00C424A3">
        <w:rPr>
          <w:rFonts w:ascii="Book Antiqua" w:hAnsi="Book Antiqua"/>
          <w:bCs/>
        </w:rPr>
        <w:t>lavado de activos</w:t>
      </w:r>
      <w:r w:rsidR="00C424A3">
        <w:rPr>
          <w:rStyle w:val="Refdenotaalpie"/>
          <w:rFonts w:ascii="Book Antiqua" w:hAnsi="Book Antiqua"/>
          <w:bCs/>
        </w:rPr>
        <w:footnoteReference w:id="4"/>
      </w:r>
      <w:r w:rsidR="00C424A3">
        <w:rPr>
          <w:rFonts w:ascii="Book Antiqua" w:hAnsi="Book Antiqua"/>
          <w:bCs/>
        </w:rPr>
        <w:t xml:space="preserve"> Con el paso de la historia se ha comprobado </w:t>
      </w:r>
      <w:r w:rsidR="00D67C2F">
        <w:rPr>
          <w:rFonts w:ascii="Book Antiqua" w:hAnsi="Book Antiqua"/>
          <w:bCs/>
        </w:rPr>
        <w:t xml:space="preserve">que </w:t>
      </w:r>
      <w:r w:rsidR="00D67C2F">
        <w:rPr>
          <w:rFonts w:ascii="Book Antiqua" w:hAnsi="Book Antiqua"/>
        </w:rPr>
        <w:t>l</w:t>
      </w:r>
      <w:r w:rsidR="00C424A3" w:rsidRPr="00C424A3">
        <w:rPr>
          <w:rFonts w:ascii="Book Antiqua" w:hAnsi="Book Antiqua"/>
        </w:rPr>
        <w:t>a ausencia de controles políticos, administrativos y judiciales efectivos favorece la impunidad y crea condiciones para el desarrollo de prácticas corruptas dentro de la administración pública.</w:t>
      </w:r>
      <w:r w:rsidR="00D67C2F">
        <w:rPr>
          <w:rStyle w:val="Refdenotaalpie"/>
          <w:rFonts w:ascii="Book Antiqua" w:hAnsi="Book Antiqua"/>
        </w:rPr>
        <w:footnoteReference w:id="5"/>
      </w:r>
      <w:r w:rsidR="00D67C2F">
        <w:rPr>
          <w:rFonts w:ascii="Book Antiqua" w:hAnsi="Book Antiqua"/>
        </w:rPr>
        <w:t xml:space="preserve"> </w:t>
      </w:r>
      <w:r w:rsidR="003338D0" w:rsidRPr="003338D0">
        <w:rPr>
          <w:rFonts w:ascii="Book Antiqua" w:hAnsi="Book Antiqua"/>
        </w:rPr>
        <w:t>En ese sentido, la Ley núm. 10-07, que instituye el Sistema Nacional de Control Interno y de la Contraloría General de la República, reconoce la importancia del control interno como un mecanismo esencial para garantizar la legalidad, la transparencia y el uso adecuado de los recursos públicos. No obstante, la persistencia de esquemas complejos de corrupción administrativa evidencia la necesidad de fortalecer dichos mecanismos mediante una supervisión más especializada y permanente en las instituciones de mayor relevancia presupuestaria.</w:t>
      </w:r>
    </w:p>
    <w:p w14:paraId="5814D0CF" w14:textId="6B28E30A" w:rsidR="00CE2C93" w:rsidRPr="00CE2C93" w:rsidRDefault="00CE2C93" w:rsidP="00252052">
      <w:pPr>
        <w:rPr>
          <w:rFonts w:ascii="Book Antiqua" w:hAnsi="Book Antiqua"/>
        </w:rPr>
      </w:pPr>
      <w:r w:rsidRPr="00CE2C93">
        <w:rPr>
          <w:rFonts w:ascii="Book Antiqua" w:hAnsi="Book Antiqua"/>
        </w:rPr>
        <w:t>Los organismos existentes no son suficientes para el manejo de instituciones de proporciones estatales.</w:t>
      </w:r>
      <w:r>
        <w:rPr>
          <w:rFonts w:ascii="Book Antiqua" w:hAnsi="Book Antiqua"/>
        </w:rPr>
        <w:t xml:space="preserve"> El PEPCA que se encarga de perseguir los delitos de la administración pública no fue creado para la función de la cual existe un vacío que es la de monitorear que los cargos públicos sean utilizados de manera íntegra y no </w:t>
      </w:r>
      <w:r w:rsidR="00252052">
        <w:rPr>
          <w:rFonts w:ascii="Book Antiqua" w:hAnsi="Book Antiqua"/>
        </w:rPr>
        <w:t>fraudulenta</w:t>
      </w:r>
      <w:r>
        <w:rPr>
          <w:rFonts w:ascii="Book Antiqua" w:hAnsi="Book Antiqua"/>
        </w:rPr>
        <w:t xml:space="preserve"> para el bienestar de la Republica.</w:t>
      </w:r>
      <w:r w:rsidR="00252052">
        <w:rPr>
          <w:rFonts w:ascii="Book Antiqua" w:hAnsi="Book Antiqua"/>
        </w:rPr>
        <w:t xml:space="preserve"> Pero sobre todas las pretensiones anteriores</w:t>
      </w:r>
      <w:r w:rsidR="005F3C24">
        <w:rPr>
          <w:rFonts w:ascii="Book Antiqua" w:hAnsi="Book Antiqua"/>
        </w:rPr>
        <w:t>,</w:t>
      </w:r>
      <w:r w:rsidR="00252052">
        <w:rPr>
          <w:rFonts w:ascii="Book Antiqua" w:hAnsi="Book Antiqua"/>
        </w:rPr>
        <w:t xml:space="preserve"> la corrupción erosiona la confianza ciudadana en las instituciones y </w:t>
      </w:r>
      <w:r w:rsidR="00252052">
        <w:rPr>
          <w:rFonts w:ascii="Book Antiqua" w:hAnsi="Book Antiqua"/>
        </w:rPr>
        <w:lastRenderedPageBreak/>
        <w:t xml:space="preserve">debilita su legitimidad </w:t>
      </w:r>
      <w:r w:rsidR="00252052">
        <w:rPr>
          <w:rStyle w:val="Refdenotaalpie"/>
          <w:rFonts w:ascii="Book Antiqua" w:hAnsi="Book Antiqua"/>
        </w:rPr>
        <w:footnoteReference w:id="6"/>
      </w:r>
      <w:r w:rsidR="00252052">
        <w:rPr>
          <w:rFonts w:ascii="Book Antiqua" w:hAnsi="Book Antiqua"/>
        </w:rPr>
        <w:t xml:space="preserve">. Aunque el PEPCA es simplemente un organismo creado para investigar y perseguir la acción penal pública </w:t>
      </w:r>
      <w:r w:rsidR="005F3C24">
        <w:rPr>
          <w:rFonts w:ascii="Book Antiqua" w:hAnsi="Book Antiqua"/>
        </w:rPr>
        <w:t xml:space="preserve">su acción es regresiva, </w:t>
      </w:r>
      <w:r w:rsidR="00252052">
        <w:rPr>
          <w:rFonts w:ascii="Book Antiqua" w:hAnsi="Book Antiqua"/>
        </w:rPr>
        <w:t xml:space="preserve">no existe un organismo destinado a la observación del uso correcto de los fondos públicos y la </w:t>
      </w:r>
      <w:r w:rsidR="00252052" w:rsidRPr="00A90452">
        <w:rPr>
          <w:rFonts w:ascii="Book Antiqua" w:hAnsi="Book Antiqua"/>
        </w:rPr>
        <w:t>sentencia</w:t>
      </w:r>
      <w:r w:rsidR="00252052" w:rsidRPr="00A90452">
        <w:rPr>
          <w:rFonts w:ascii="Book Antiqua" w:hAnsi="Book Antiqua"/>
          <w:b/>
        </w:rPr>
        <w:t xml:space="preserve"> </w:t>
      </w:r>
      <w:r w:rsidR="00252052" w:rsidRPr="00A90452">
        <w:rPr>
          <w:rStyle w:val="Textoennegrita"/>
          <w:rFonts w:ascii="Book Antiqua" w:hAnsi="Book Antiqua"/>
          <w:b w:val="0"/>
        </w:rPr>
        <w:t>TC/0048/22</w:t>
      </w:r>
      <w:r w:rsidR="00252052" w:rsidRPr="00252052">
        <w:rPr>
          <w:rFonts w:ascii="Book Antiqua" w:hAnsi="Book Antiqua"/>
        </w:rPr>
        <w:t xml:space="preserve">, de 15 de febrero de 2022 lo describe </w:t>
      </w:r>
      <w:r w:rsidR="00252052">
        <w:rPr>
          <w:rFonts w:ascii="Book Antiqua" w:hAnsi="Book Antiqua"/>
        </w:rPr>
        <w:t xml:space="preserve">sin duda </w:t>
      </w:r>
      <w:r w:rsidR="00252052" w:rsidRPr="00252052">
        <w:rPr>
          <w:rFonts w:ascii="Book Antiqua" w:hAnsi="Book Antiqua"/>
        </w:rPr>
        <w:t>porque en esencia, el Tribunal tuvo que determinar qué órgano era competente para conocer determinadas actuaciones vinculadas al control y la fiscalizaci</w:t>
      </w:r>
      <w:r w:rsidR="00252052">
        <w:rPr>
          <w:rFonts w:ascii="Book Antiqua" w:hAnsi="Book Antiqua"/>
        </w:rPr>
        <w:t>ón de la administración pública no hay un órgano destinado, por ende existe un vacío</w:t>
      </w:r>
      <w:r w:rsidR="005F3C24">
        <w:rPr>
          <w:rFonts w:ascii="Book Antiqua" w:hAnsi="Book Antiqua"/>
        </w:rPr>
        <w:t xml:space="preserve"> y los existentes </w:t>
      </w:r>
      <w:r w:rsidR="005F3C24" w:rsidRPr="005F3C24">
        <w:rPr>
          <w:rFonts w:ascii="Book Antiqua" w:hAnsi="Book Antiqua"/>
        </w:rPr>
        <w:t>no han logrado prevenir eficazmente la corrupción</w:t>
      </w:r>
      <w:r w:rsidR="005F3C24">
        <w:rPr>
          <w:rFonts w:ascii="Book Antiqua" w:hAnsi="Book Antiqua"/>
        </w:rPr>
        <w:t xml:space="preserve"> </w:t>
      </w:r>
      <w:r w:rsidR="00252052">
        <w:rPr>
          <w:rStyle w:val="Refdenotaalpie"/>
          <w:rFonts w:ascii="Book Antiqua" w:hAnsi="Book Antiqua"/>
        </w:rPr>
        <w:footnoteReference w:id="7"/>
      </w:r>
      <w:r w:rsidR="005F3C24">
        <w:rPr>
          <w:rFonts w:ascii="Book Antiqua" w:hAnsi="Book Antiqua"/>
        </w:rPr>
        <w:t>.</w:t>
      </w:r>
    </w:p>
    <w:p w14:paraId="51C6EC16" w14:textId="5AF1135C" w:rsidR="004274A7" w:rsidRDefault="005F3C24" w:rsidP="004F0FBB">
      <w:pPr>
        <w:pStyle w:val="Textoindependiente"/>
        <w:rPr>
          <w:rFonts w:ascii="Book Antiqua" w:hAnsi="Book Antiqua"/>
        </w:rPr>
      </w:pPr>
      <w:commentRangeStart w:id="6"/>
      <w:commentRangeStart w:id="7"/>
      <w:r>
        <w:rPr>
          <w:rFonts w:ascii="Book Antiqua" w:hAnsi="Book Antiqua"/>
        </w:rPr>
        <w:t xml:space="preserve">Desde el punto de vista ciudadano y profesional para analizar </w:t>
      </w:r>
      <w:r w:rsidRPr="005F3C24">
        <w:rPr>
          <w:rFonts w:ascii="Book Antiqua" w:hAnsi="Book Antiqua"/>
        </w:rPr>
        <w:t>por qué los mecanismos de control estatal, auditoría y persecución penal resultaron insuficientes, debe partirse de que la corrupción no surge únicamente por la falta de sanciones, sino por debilidades estructurales del sistema institucional.</w:t>
      </w:r>
      <w:r>
        <w:rPr>
          <w:rStyle w:val="Refdenotaalpie"/>
          <w:rFonts w:ascii="Book Antiqua" w:hAnsi="Book Antiqua"/>
        </w:rPr>
        <w:footnoteReference w:id="8"/>
      </w:r>
      <w:r w:rsidRPr="005F3C24">
        <w:rPr>
          <w:rFonts w:ascii="Book Antiqua" w:hAnsi="Book Antiqua"/>
        </w:rPr>
        <w:t xml:space="preserve"> Robert Klitgaard sostiene que el riesgo de corrupción aumenta cuando existe concentración de poder, amplio margen de discrecionalidad y bajos n</w:t>
      </w:r>
      <w:r>
        <w:rPr>
          <w:rFonts w:ascii="Book Antiqua" w:hAnsi="Book Antiqua"/>
        </w:rPr>
        <w:t>iveles de rendición de cuentas.</w:t>
      </w:r>
      <w:r w:rsidRPr="005F3C24">
        <w:rPr>
          <w:rFonts w:ascii="Book Antiqua" w:hAnsi="Book Antiqua"/>
        </w:rPr>
        <w:t xml:space="preserve"> Desde esa perspectiva, las estructuras criminales pueden operar durante largos períodos cuando los controles internos no detectan oportunamente las irregularidades y cuando la persecución penal actúa solo después de que el daño ya se ha producido. En esa misma línea, la Organización para la Cooperación y el Desarrollo Económicos (OCDE) ha señalado que la integridad pública requiere un enfoque preventivo, basado en controles internos, transparencia, gestión de riesgos y coordinación </w:t>
      </w:r>
      <w:r w:rsidR="004274A7">
        <w:rPr>
          <w:rFonts w:ascii="Book Antiqua" w:hAnsi="Book Antiqua"/>
        </w:rPr>
        <w:t>institucional.</w:t>
      </w:r>
      <w:r w:rsidR="004274A7">
        <w:rPr>
          <w:rStyle w:val="Refdenotaalpie"/>
          <w:rFonts w:ascii="Book Antiqua" w:hAnsi="Book Antiqua"/>
        </w:rPr>
        <w:footnoteReference w:id="9"/>
      </w:r>
      <w:r w:rsidRPr="005F3C24">
        <w:rPr>
          <w:rFonts w:ascii="Book Antiqua" w:hAnsi="Book Antiqua"/>
        </w:rPr>
        <w:t xml:space="preserve"> Por tanto, la insuficiencia no radica necesariamente en la inexistencia de órganos estatales, sino en la falta de eficacia, prevención y articulación entre ellos.</w:t>
      </w:r>
      <w:r w:rsidR="004274A7">
        <w:rPr>
          <w:rStyle w:val="Refdenotaalpie"/>
          <w:rFonts w:ascii="Book Antiqua" w:hAnsi="Book Antiqua"/>
        </w:rPr>
        <w:footnoteReference w:id="10"/>
      </w:r>
      <w:commentRangeEnd w:id="6"/>
      <w:r w:rsidR="0074750B">
        <w:rPr>
          <w:rStyle w:val="Refdecomentario"/>
          <w:rFonts w:ascii="Book Antiqua" w:hAnsi="Book Antiqua"/>
          <w:sz w:val="24"/>
          <w:szCs w:val="24"/>
        </w:rPr>
        <w:commentReference w:id="6"/>
      </w:r>
      <w:commentRangeEnd w:id="7"/>
      <w:r w:rsidR="00DC18BE">
        <w:rPr>
          <w:rStyle w:val="Refdecomentario"/>
        </w:rPr>
        <w:commentReference w:id="7"/>
      </w:r>
    </w:p>
    <w:p w14:paraId="67BE3ED4" w14:textId="77777777" w:rsidR="004F0FBB" w:rsidRPr="004F0FBB" w:rsidRDefault="004F0FBB" w:rsidP="004F0FBB">
      <w:pPr>
        <w:pStyle w:val="Textoindependiente"/>
        <w:rPr>
          <w:rFonts w:ascii="Book Antiqua" w:hAnsi="Book Antiqua"/>
        </w:rPr>
      </w:pPr>
    </w:p>
    <w:p w14:paraId="575BDA90" w14:textId="11E67AB8" w:rsidR="004274A7" w:rsidRDefault="004274A7" w:rsidP="004274A7">
      <w:pPr>
        <w:pStyle w:val="Textoindependiente"/>
        <w:rPr>
          <w:rFonts w:ascii="Book Antiqua" w:hAnsi="Book Antiqua"/>
          <w:lang w:val="es-DO"/>
        </w:rPr>
      </w:pPr>
      <w:r>
        <w:rPr>
          <w:rFonts w:ascii="Book Antiqua" w:hAnsi="Book Antiqua"/>
          <w:lang w:val="es-DO"/>
        </w:rPr>
        <w:t xml:space="preserve">Los organismos existentes para el control de entes públicos, no son suficientes y esto genera que no se concentre </w:t>
      </w:r>
      <w:r w:rsidR="00135C20">
        <w:rPr>
          <w:rFonts w:ascii="Book Antiqua" w:hAnsi="Book Antiqua"/>
          <w:lang w:val="es-DO"/>
        </w:rPr>
        <w:t xml:space="preserve">la supervisión en solo uno y sea ineficaz. No quiere decir que el PEPCA sea ineficaz, sino que su creación fue para perseguir cuando ya existen evidencias, aunque sean mínimas de delitos es una acción reactiva mas no salvaguarda los fondos públicos. Esto afecta mucho el país y la </w:t>
      </w:r>
      <w:r w:rsidR="00135C20">
        <w:rPr>
          <w:rFonts w:ascii="Book Antiqua" w:hAnsi="Book Antiqua"/>
          <w:lang w:val="es-DO"/>
        </w:rPr>
        <w:lastRenderedPageBreak/>
        <w:t xml:space="preserve">humanidad porque si los habitantes no confían en el estado y en que sus impuestos están siendo utilizados para el bien de la sociedad y sucede todo lo contrario, la salud cada día más pobre y la canasta básica en las nubes </w:t>
      </w:r>
      <w:r w:rsidR="00135C20">
        <w:rPr>
          <w:rStyle w:val="Refdenotaalpie"/>
          <w:rFonts w:ascii="Book Antiqua" w:hAnsi="Book Antiqua"/>
          <w:lang w:val="es-DO"/>
        </w:rPr>
        <w:footnoteReference w:id="11"/>
      </w:r>
      <w:r w:rsidR="00135C20">
        <w:rPr>
          <w:rFonts w:ascii="Book Antiqua" w:hAnsi="Book Antiqua"/>
          <w:lang w:val="es-DO"/>
        </w:rPr>
        <w:t>. Pero entonces ¿Dónde están los impuestos? ¿Quien supervisa que lo que los ciudadanos trabajan día a día sea para uso regresivo de ellos mismos y no para comprar casas en casa de campo y vehículos modernos?</w:t>
      </w:r>
    </w:p>
    <w:p w14:paraId="5301A81D" w14:textId="1DEF2009" w:rsidR="004274A7" w:rsidRDefault="004274A7" w:rsidP="004274A7">
      <w:pPr>
        <w:pStyle w:val="Textoindependiente"/>
        <w:rPr>
          <w:rFonts w:ascii="Book Antiqua" w:hAnsi="Book Antiqua"/>
          <w:lang w:val="es-DO"/>
        </w:rPr>
      </w:pPr>
    </w:p>
    <w:p w14:paraId="79ACC5B1" w14:textId="3D4AEFF5" w:rsidR="00135C20" w:rsidRPr="004274A7" w:rsidRDefault="00DC18BE" w:rsidP="0074750B">
      <w:pPr>
        <w:pStyle w:val="Textoindependiente"/>
        <w:rPr>
          <w:rFonts w:ascii="Book Antiqua" w:hAnsi="Book Antiqua"/>
          <w:lang w:val="es-DO"/>
        </w:rPr>
      </w:pPr>
      <w:r w:rsidRPr="00DC18BE">
        <w:rPr>
          <w:rFonts w:ascii="Book Antiqua" w:hAnsi="Book Antiqua"/>
        </w:rPr>
        <w:t>Asimismo, resulta necesario destacar que la corrupción administrativa ha llegado a normalizarse en determinados sectores de la sociedad, al punto de que ciertas prácticas irregulares son percibidas con naturalidad en el discurso cotidiano.</w:t>
      </w:r>
      <w:r>
        <w:rPr>
          <w:rFonts w:ascii="Book Antiqua" w:hAnsi="Book Antiqua"/>
        </w:rPr>
        <w:t xml:space="preserve"> </w:t>
      </w:r>
      <w:r w:rsidR="00135C20">
        <w:rPr>
          <w:rFonts w:ascii="Book Antiqua" w:hAnsi="Book Antiqua"/>
          <w:lang w:val="es-DO"/>
        </w:rPr>
        <w:t>La corrupción administrativa debería ser vista como un robo a mano armada en la calle porque recae en lo mismo de ninguna de las dos te puedes defender y en ambos casos se está</w:t>
      </w:r>
      <w:r w:rsidR="00303558">
        <w:rPr>
          <w:rFonts w:ascii="Book Antiqua" w:hAnsi="Book Antiqua"/>
          <w:lang w:val="es-DO"/>
        </w:rPr>
        <w:t xml:space="preserve"> sustrayendo algo que no le pertenece. </w:t>
      </w:r>
      <w:r w:rsidRPr="00DC18BE">
        <w:rPr>
          <w:rFonts w:ascii="Book Antiqua" w:hAnsi="Book Antiqua"/>
        </w:rPr>
        <w:t>En ese contexto, resulta necesario fortalecer los mecanismos de prevención, fiscalización y control interno ya previstos en el ordenamiento jurídico, a fin de detectar oportunamente las irregularidades y reducir el riesgo de desvío de fondos públicos.</w:t>
      </w:r>
      <w:r w:rsidRPr="00DC18BE">
        <w:rPr>
          <w:rFonts w:ascii="Book Antiqua" w:hAnsi="Book Antiqua"/>
          <w:lang w:val="es-DO"/>
        </w:rPr>
        <w:t xml:space="preserve"> </w:t>
      </w:r>
      <w:r>
        <w:rPr>
          <w:rFonts w:ascii="Book Antiqua" w:hAnsi="Book Antiqua"/>
          <w:lang w:val="es-DO"/>
        </w:rPr>
        <w:t>N</w:t>
      </w:r>
      <w:r w:rsidR="00303558">
        <w:rPr>
          <w:rFonts w:ascii="Book Antiqua" w:hAnsi="Book Antiqua"/>
          <w:lang w:val="es-DO"/>
        </w:rPr>
        <w:t>o es una cuestión de percepción por el crimen de terrorismo la pena es de 30 años porque genera un daño a la sociedad o en otro caso la muerte, pero la</w:t>
      </w:r>
      <w:r w:rsidR="0074750B">
        <w:rPr>
          <w:rFonts w:ascii="Book Antiqua" w:hAnsi="Book Antiqua"/>
          <w:lang w:val="es-DO"/>
        </w:rPr>
        <w:t xml:space="preserve"> </w:t>
      </w:r>
      <w:r w:rsidR="00303558">
        <w:rPr>
          <w:rFonts w:ascii="Book Antiqua" w:hAnsi="Book Antiqua"/>
          <w:lang w:val="es-DO"/>
        </w:rPr>
        <w:t>corrupción también hay familias que no les alcanza para comer los insumos básicos porque muchas otras están sustrayéndoles lo que les pertenece.</w:t>
      </w:r>
    </w:p>
    <w:p w14:paraId="204E5235" w14:textId="14B1A269" w:rsidR="00F174F9" w:rsidRPr="00F174F9" w:rsidRDefault="00DC18BE" w:rsidP="00F174F9">
      <w:pPr>
        <w:pStyle w:val="NormalWeb"/>
        <w:rPr>
          <w:rFonts w:ascii="Book Antiqua" w:hAnsi="Book Antiqua"/>
        </w:rPr>
      </w:pPr>
      <w:r w:rsidRPr="00DC18BE">
        <w:rPr>
          <w:rFonts w:ascii="Book Antiqua" w:hAnsi="Book Antiqua"/>
          <w:lang w:val="es-US"/>
        </w:rPr>
        <w:t>Los derechos de los ciudadanos son vulnerados en cada visita a un centro médico cuando no reciben la atención para la cual contribuyen mediante el pago de sus impuestos, así como cada vez que aumenta la carga tributaria sin que ello se traduzca en una mejora de los servicios públicos. No obstante, una parte de la doctrina sostiene que el principal problema no radica en la inexistencia de órganos de control, sino en la deficiente aplicación de las competencias que el ordenamiento jurídico ya atribuye a instituciones como la Contraloría General de la República, la Cámara de Cuentas y el Ministerio Público. Sin embargo, aunque dicha postura resulta atendible, los casos recientes de corrupción administrativa evidencian que la sola existencia de estos organismos no ha sido suficiente para prevenir oportunamente el desvío y ocultamiento de fondos públicos. En consecuencia, además de fortalecer el ejercicio de sus competencias, resulta indispensable mejorar la coordinación institucional y los mecanismos de supervisión preventiva, a fin de garantizar una protección más eficaz del patrimonio público.</w:t>
      </w:r>
    </w:p>
    <w:p w14:paraId="4B00FEB1" w14:textId="2B34D6E3" w:rsidR="00F174F9" w:rsidRDefault="00F174F9" w:rsidP="00A90452">
      <w:pPr>
        <w:pStyle w:val="Textoindependiente"/>
        <w:rPr>
          <w:rFonts w:ascii="Book Antiqua" w:hAnsi="Book Antiqua"/>
        </w:rPr>
      </w:pPr>
      <w:r w:rsidRPr="00F174F9">
        <w:rPr>
          <w:rFonts w:ascii="Book Antiqua" w:hAnsi="Book Antiqua"/>
        </w:rPr>
        <w:lastRenderedPageBreak/>
        <w:t xml:space="preserve">El principal aporte de esta investigación consiste en evidenciar que la corrupción administrativa no debe analizarse únicamente desde la perspectiva de la sanción penal, sino también desde la prevención y el fortalecimiento institucional. El </w:t>
      </w:r>
      <w:r>
        <w:rPr>
          <w:rFonts w:ascii="Book Antiqua" w:hAnsi="Book Antiqua"/>
        </w:rPr>
        <w:t>ensayo</w:t>
      </w:r>
      <w:r w:rsidRPr="00F174F9">
        <w:rPr>
          <w:rFonts w:ascii="Book Antiqua" w:hAnsi="Book Antiqua"/>
        </w:rPr>
        <w:t xml:space="preserve"> permitió identificar los mecanismos utilizados para desviar fondos públicos, comprender las debilidades de los controles estatales que facilitaron la permanencia de estos esquemas y reflexionar sobre la necesidad de implementar mecanismos de supervisión más eficaces. En ese sentido, la investigación reafirma que la transparencia, la coordinación entre los órganos de control y la vigilancia permanente de la administración pública constituyen herramientas esenciales para reducir el riesgo de nuevas prácticas de corrupción y proteger el patrimonio del Estado.</w:t>
      </w:r>
      <w:bookmarkStart w:id="8" w:name="lista-de-verificación-final"/>
      <w:bookmarkEnd w:id="3"/>
      <w:bookmarkEnd w:id="4"/>
      <w:bookmarkEnd w:id="8"/>
    </w:p>
    <w:p w14:paraId="75CAA498" w14:textId="477761EA" w:rsidR="007C45D1" w:rsidRDefault="007C45D1" w:rsidP="00A90452">
      <w:pPr>
        <w:pStyle w:val="Textoindependiente"/>
        <w:rPr>
          <w:rFonts w:ascii="Book Antiqua" w:hAnsi="Book Antiqua"/>
        </w:rPr>
      </w:pPr>
    </w:p>
    <w:sdt>
      <w:sdtPr>
        <w:rPr>
          <w:rFonts w:asciiTheme="minorHAnsi" w:eastAsiaTheme="minorHAnsi" w:hAnsiTheme="minorHAnsi" w:cstheme="minorBidi"/>
          <w:color w:val="auto"/>
          <w:sz w:val="24"/>
          <w:szCs w:val="24"/>
          <w:lang w:val="es-ES"/>
        </w:rPr>
        <w:id w:val="549034425"/>
        <w:docPartObj>
          <w:docPartGallery w:val="Bibliographies"/>
          <w:docPartUnique/>
        </w:docPartObj>
      </w:sdtPr>
      <w:sdtEndPr>
        <w:rPr>
          <w:lang w:val="es-US"/>
        </w:rPr>
      </w:sdtEndPr>
      <w:sdtContent>
        <w:p w14:paraId="2A5D495F" w14:textId="3A4551B7" w:rsidR="007C45D1" w:rsidRDefault="007C45D1">
          <w:pPr>
            <w:pStyle w:val="Ttulo1"/>
          </w:pPr>
          <w:r>
            <w:rPr>
              <w:lang w:val="es-ES"/>
            </w:rPr>
            <w:t>Bibliografía</w:t>
          </w:r>
        </w:p>
        <w:sdt>
          <w:sdtPr>
            <w:id w:val="111145805"/>
            <w:bibliography/>
          </w:sdtPr>
          <w:sdtEndPr/>
          <w:sdtContent>
            <w:p w14:paraId="351B911D" w14:textId="77777777" w:rsidR="007C45D1" w:rsidRDefault="007C45D1" w:rsidP="007C45D1">
              <w:pPr>
                <w:pStyle w:val="Bibliografa"/>
                <w:ind w:left="720" w:hanging="720"/>
                <w:rPr>
                  <w:noProof/>
                  <w:lang w:val="es-ES"/>
                </w:rPr>
              </w:pPr>
              <w:r>
                <w:fldChar w:fldCharType="begin"/>
              </w:r>
              <w:r>
                <w:instrText>BIBLIOGRAPHY</w:instrText>
              </w:r>
              <w:r>
                <w:fldChar w:fldCharType="separate"/>
              </w:r>
              <w:r w:rsidRPr="007C45D1">
                <w:rPr>
                  <w:rFonts w:ascii="Book Antiqua" w:hAnsi="Book Antiqua"/>
                  <w:noProof/>
                  <w:lang w:val="es-ES"/>
                </w:rPr>
                <w:t>Cru</w:t>
              </w:r>
              <w:r w:rsidRPr="007C45D1">
                <w:rPr>
                  <w:rFonts w:ascii="Book Antiqua" w:hAnsi="Book Antiqua" w:cs="Times New Roman"/>
                  <w:noProof/>
                  <w:lang w:val="es-ES"/>
                </w:rPr>
                <w:t xml:space="preserve">z, Ivan de la. </w:t>
              </w:r>
              <w:r w:rsidRPr="007C45D1">
                <w:rPr>
                  <w:rFonts w:ascii="Book Antiqua" w:hAnsi="Book Antiqua" w:cs="Times New Roman"/>
                  <w:i/>
                  <w:iCs/>
                  <w:noProof/>
                  <w:lang w:val="es-ES"/>
                </w:rPr>
                <w:t>Séptimo informe del observatorio de casos de corrupción administrativa:.</w:t>
              </w:r>
              <w:r w:rsidRPr="007C45D1">
                <w:rPr>
                  <w:rFonts w:ascii="Book Antiqua" w:hAnsi="Book Antiqua" w:cs="Times New Roman"/>
                  <w:noProof/>
                  <w:lang w:val="es-ES"/>
                </w:rPr>
                <w:t xml:space="preserve"> </w:t>
              </w:r>
              <w:r w:rsidRPr="007C45D1">
                <w:rPr>
                  <w:rFonts w:ascii="Times New Roman" w:hAnsi="Times New Roman" w:cs="Times New Roman"/>
                  <w:noProof/>
                  <w:lang w:val="es-ES"/>
                </w:rPr>
                <w:t>Participación ciudadana, 2026.</w:t>
              </w:r>
            </w:p>
            <w:p w14:paraId="6B4B04DB" w14:textId="495093B7" w:rsidR="007C45D1" w:rsidRPr="007C45D1" w:rsidRDefault="007C45D1" w:rsidP="007C45D1">
              <w:pPr>
                <w:pStyle w:val="pdq2pgselectionanchorcontainer"/>
              </w:pPr>
              <w:r>
                <w:rPr>
                  <w:b/>
                  <w:bCs/>
                </w:rPr>
                <w:fldChar w:fldCharType="end"/>
              </w:r>
              <w:r w:rsidRPr="007C45D1">
                <w:t xml:space="preserve"> Borsani, Hugo. "Corrupción estructural y democracias frágiles: el círculo vicioso latinoamericano". </w:t>
              </w:r>
              <w:r w:rsidRPr="007C45D1">
                <w:rPr>
                  <w:i/>
                  <w:iCs/>
                </w:rPr>
                <w:t>Latinoamérica21</w:t>
              </w:r>
              <w:r w:rsidRPr="007C45D1">
                <w:t>. 5 de febrero de 2026.</w:t>
              </w:r>
            </w:p>
            <w:p w14:paraId="38062997" w14:textId="77777777" w:rsidR="007C45D1" w:rsidRPr="007C45D1" w:rsidRDefault="007C45D1" w:rsidP="007C45D1">
              <w:pPr>
                <w:spacing w:before="100" w:beforeAutospacing="1" w:after="100" w:afterAutospacing="1"/>
                <w:rPr>
                  <w:rFonts w:ascii="Times New Roman" w:eastAsia="Times New Roman" w:hAnsi="Times New Roman" w:cs="Times New Roman"/>
                  <w:lang w:val="es-DO" w:eastAsia="es-DO"/>
                </w:rPr>
              </w:pPr>
              <w:r w:rsidRPr="007C45D1">
                <w:rPr>
                  <w:rFonts w:ascii="Times New Roman" w:eastAsia="Times New Roman" w:hAnsi="Times New Roman" w:cs="Times New Roman"/>
                  <w:lang w:val="es-DO" w:eastAsia="es-DO"/>
                </w:rPr>
                <w:t xml:space="preserve">Brewer-Carías, Allan R. "La corrupción administrativa". </w:t>
              </w:r>
              <w:r w:rsidRPr="007C45D1">
                <w:rPr>
                  <w:rFonts w:ascii="Times New Roman" w:eastAsia="Times New Roman" w:hAnsi="Times New Roman" w:cs="Times New Roman"/>
                  <w:i/>
                  <w:iCs/>
                  <w:lang w:val="es-DO" w:eastAsia="es-DO"/>
                </w:rPr>
                <w:t>Boletín Administración y Hacienda</w:t>
              </w:r>
              <w:r w:rsidRPr="007C45D1">
                <w:rPr>
                  <w:rFonts w:ascii="Times New Roman" w:eastAsia="Times New Roman" w:hAnsi="Times New Roman" w:cs="Times New Roman"/>
                  <w:lang w:val="es-DO" w:eastAsia="es-DO"/>
                </w:rPr>
                <w:t>. Escuela Nacional de Administración y Hacienda Pública, 1984.</w:t>
              </w:r>
            </w:p>
            <w:p w14:paraId="5F764C36" w14:textId="77777777" w:rsidR="007C45D1" w:rsidRPr="007C45D1" w:rsidRDefault="007C45D1" w:rsidP="007C45D1">
              <w:pPr>
                <w:spacing w:before="100" w:beforeAutospacing="1" w:after="100" w:afterAutospacing="1"/>
                <w:rPr>
                  <w:rFonts w:ascii="Times New Roman" w:eastAsia="Times New Roman" w:hAnsi="Times New Roman" w:cs="Times New Roman"/>
                  <w:lang w:val="es-DO" w:eastAsia="es-DO"/>
                </w:rPr>
              </w:pPr>
              <w:r w:rsidRPr="0074750B">
                <w:rPr>
                  <w:rFonts w:ascii="Times New Roman" w:eastAsia="Times New Roman" w:hAnsi="Times New Roman" w:cs="Times New Roman"/>
                  <w:lang w:val="en-US" w:eastAsia="es-DO"/>
                </w:rPr>
                <w:t xml:space="preserve">Dalberg-Acton, John Emerich Edward. </w:t>
              </w:r>
              <w:r w:rsidRPr="0074750B">
                <w:rPr>
                  <w:rFonts w:ascii="Times New Roman" w:eastAsia="Times New Roman" w:hAnsi="Times New Roman" w:cs="Times New Roman"/>
                  <w:i/>
                  <w:iCs/>
                  <w:lang w:val="en-US" w:eastAsia="es-DO"/>
                </w:rPr>
                <w:t>The Life and Letters of Mandell Creighton</w:t>
              </w:r>
              <w:r w:rsidRPr="0074750B">
                <w:rPr>
                  <w:rFonts w:ascii="Times New Roman" w:eastAsia="Times New Roman" w:hAnsi="Times New Roman" w:cs="Times New Roman"/>
                  <w:lang w:val="en-US" w:eastAsia="es-DO"/>
                </w:rPr>
                <w:t xml:space="preserve">. </w:t>
              </w:r>
              <w:r w:rsidRPr="007C45D1">
                <w:rPr>
                  <w:rFonts w:ascii="Times New Roman" w:eastAsia="Times New Roman" w:hAnsi="Times New Roman" w:cs="Times New Roman"/>
                  <w:lang w:val="es-DO" w:eastAsia="es-DO"/>
                </w:rPr>
                <w:t>Editado por Louise Creighton. Londres: Longmans, Green and Co., 1904.</w:t>
              </w:r>
            </w:p>
            <w:p w14:paraId="5856A2F6" w14:textId="77777777" w:rsidR="007C45D1" w:rsidRPr="0074750B" w:rsidRDefault="007C45D1" w:rsidP="007C45D1">
              <w:pPr>
                <w:spacing w:before="100" w:beforeAutospacing="1" w:after="100" w:afterAutospacing="1"/>
                <w:rPr>
                  <w:rFonts w:ascii="Times New Roman" w:eastAsia="Times New Roman" w:hAnsi="Times New Roman" w:cs="Times New Roman"/>
                  <w:lang w:val="en-US" w:eastAsia="es-DO"/>
                </w:rPr>
              </w:pPr>
              <w:r w:rsidRPr="007C45D1">
                <w:rPr>
                  <w:rFonts w:ascii="Times New Roman" w:eastAsia="Times New Roman" w:hAnsi="Times New Roman" w:cs="Times New Roman"/>
                  <w:i/>
                  <w:iCs/>
                  <w:lang w:val="es-DO" w:eastAsia="es-DO"/>
                </w:rPr>
                <w:t>Diario Libre</w:t>
              </w:r>
              <w:r w:rsidRPr="007C45D1">
                <w:rPr>
                  <w:rFonts w:ascii="Times New Roman" w:eastAsia="Times New Roman" w:hAnsi="Times New Roman" w:cs="Times New Roman"/>
                  <w:lang w:val="es-DO" w:eastAsia="es-DO"/>
                </w:rPr>
                <w:t xml:space="preserve">. "Caso Senasa: estos son los ejes de la acusación del Ministerio Público". </w:t>
              </w:r>
              <w:r w:rsidRPr="0074750B">
                <w:rPr>
                  <w:rFonts w:ascii="Times New Roman" w:eastAsia="Times New Roman" w:hAnsi="Times New Roman" w:cs="Times New Roman"/>
                  <w:lang w:val="en-US" w:eastAsia="es-DO"/>
                </w:rPr>
                <w:t>9 de diciembre de 2025.</w:t>
              </w:r>
            </w:p>
            <w:p w14:paraId="0EB68E10" w14:textId="77777777" w:rsidR="007C45D1" w:rsidRPr="0074750B" w:rsidRDefault="007C45D1" w:rsidP="007C45D1">
              <w:pPr>
                <w:spacing w:before="100" w:beforeAutospacing="1" w:after="100" w:afterAutospacing="1"/>
                <w:rPr>
                  <w:rFonts w:ascii="Times New Roman" w:eastAsia="Times New Roman" w:hAnsi="Times New Roman" w:cs="Times New Roman"/>
                  <w:lang w:val="en-US" w:eastAsia="es-DO"/>
                </w:rPr>
              </w:pPr>
              <w:r w:rsidRPr="0074750B">
                <w:rPr>
                  <w:rFonts w:ascii="Times New Roman" w:eastAsia="Times New Roman" w:hAnsi="Times New Roman" w:cs="Times New Roman"/>
                  <w:lang w:val="en-US" w:eastAsia="es-DO"/>
                </w:rPr>
                <w:t xml:space="preserve">Klitgaard, Robert. </w:t>
              </w:r>
              <w:r w:rsidRPr="0074750B">
                <w:rPr>
                  <w:rFonts w:ascii="Times New Roman" w:eastAsia="Times New Roman" w:hAnsi="Times New Roman" w:cs="Times New Roman"/>
                  <w:i/>
                  <w:iCs/>
                  <w:lang w:val="en-US" w:eastAsia="es-DO"/>
                </w:rPr>
                <w:t>Controlling Corruption</w:t>
              </w:r>
              <w:r w:rsidRPr="0074750B">
                <w:rPr>
                  <w:rFonts w:ascii="Times New Roman" w:eastAsia="Times New Roman" w:hAnsi="Times New Roman" w:cs="Times New Roman"/>
                  <w:lang w:val="en-US" w:eastAsia="es-DO"/>
                </w:rPr>
                <w:t>. Berkeley: University of California Press, 1988.</w:t>
              </w:r>
            </w:p>
            <w:p w14:paraId="0C74B55C" w14:textId="77777777" w:rsidR="007C45D1" w:rsidRPr="007C45D1" w:rsidRDefault="007C45D1" w:rsidP="007C45D1">
              <w:pPr>
                <w:spacing w:before="100" w:beforeAutospacing="1" w:after="100" w:afterAutospacing="1"/>
                <w:rPr>
                  <w:rFonts w:ascii="Times New Roman" w:eastAsia="Times New Roman" w:hAnsi="Times New Roman" w:cs="Times New Roman"/>
                  <w:lang w:val="es-DO" w:eastAsia="es-DO"/>
                </w:rPr>
              </w:pPr>
              <w:r w:rsidRPr="007C45D1">
                <w:rPr>
                  <w:rFonts w:ascii="Times New Roman" w:eastAsia="Times New Roman" w:hAnsi="Times New Roman" w:cs="Times New Roman"/>
                  <w:lang w:val="es-DO" w:eastAsia="es-DO"/>
                </w:rPr>
                <w:t xml:space="preserve">Oficina Nacional de Estadística. </w:t>
              </w:r>
              <w:r w:rsidRPr="007C45D1">
                <w:rPr>
                  <w:rFonts w:ascii="Times New Roman" w:eastAsia="Times New Roman" w:hAnsi="Times New Roman" w:cs="Times New Roman"/>
                  <w:i/>
                  <w:iCs/>
                  <w:lang w:val="es-DO" w:eastAsia="es-DO"/>
                </w:rPr>
                <w:t>Estimación de la Canasta Básica y las Líneas de Pobreza</w:t>
              </w:r>
              <w:r w:rsidRPr="007C45D1">
                <w:rPr>
                  <w:rFonts w:ascii="Times New Roman" w:eastAsia="Times New Roman" w:hAnsi="Times New Roman" w:cs="Times New Roman"/>
                  <w:lang w:val="es-DO" w:eastAsia="es-DO"/>
                </w:rPr>
                <w:t>. Santo Domingo: ONE, 2012.</w:t>
              </w:r>
            </w:p>
            <w:p w14:paraId="745E5114" w14:textId="77777777" w:rsidR="007C45D1" w:rsidRPr="007C45D1" w:rsidRDefault="007C45D1" w:rsidP="007C45D1">
              <w:pPr>
                <w:spacing w:before="100" w:beforeAutospacing="1" w:after="100" w:afterAutospacing="1"/>
                <w:rPr>
                  <w:rFonts w:ascii="Times New Roman" w:eastAsia="Times New Roman" w:hAnsi="Times New Roman" w:cs="Times New Roman"/>
                  <w:lang w:val="es-DO" w:eastAsia="es-DO"/>
                </w:rPr>
              </w:pPr>
              <w:r w:rsidRPr="007C45D1">
                <w:rPr>
                  <w:rFonts w:ascii="Times New Roman" w:eastAsia="Times New Roman" w:hAnsi="Times New Roman" w:cs="Times New Roman"/>
                  <w:lang w:val="es-DO" w:eastAsia="es-DO"/>
                </w:rPr>
                <w:t xml:space="preserve">Organización para la Cooperación y el Desarrollo Económicos (OCDE). </w:t>
              </w:r>
              <w:r w:rsidRPr="007C45D1">
                <w:rPr>
                  <w:rFonts w:ascii="Times New Roman" w:eastAsia="Times New Roman" w:hAnsi="Times New Roman" w:cs="Times New Roman"/>
                  <w:i/>
                  <w:iCs/>
                  <w:lang w:val="es-DO" w:eastAsia="es-DO"/>
                </w:rPr>
                <w:t>Manual de la OCDE sobre Integridad Pública</w:t>
              </w:r>
              <w:r w:rsidRPr="007C45D1">
                <w:rPr>
                  <w:rFonts w:ascii="Times New Roman" w:eastAsia="Times New Roman" w:hAnsi="Times New Roman" w:cs="Times New Roman"/>
                  <w:lang w:val="es-DO" w:eastAsia="es-DO"/>
                </w:rPr>
                <w:t>. París: OECD Publishing, 2020.</w:t>
              </w:r>
            </w:p>
            <w:p w14:paraId="6159511E" w14:textId="77777777" w:rsidR="007C45D1" w:rsidRPr="007C45D1" w:rsidRDefault="007C45D1" w:rsidP="007C45D1">
              <w:pPr>
                <w:spacing w:before="100" w:beforeAutospacing="1" w:after="100" w:afterAutospacing="1"/>
                <w:rPr>
                  <w:rFonts w:ascii="Times New Roman" w:eastAsia="Times New Roman" w:hAnsi="Times New Roman" w:cs="Times New Roman"/>
                  <w:lang w:val="es-DO" w:eastAsia="es-DO"/>
                </w:rPr>
              </w:pPr>
              <w:r w:rsidRPr="007C45D1">
                <w:rPr>
                  <w:rFonts w:ascii="Times New Roman" w:eastAsia="Times New Roman" w:hAnsi="Times New Roman" w:cs="Times New Roman"/>
                  <w:lang w:val="es-DO" w:eastAsia="es-DO"/>
                </w:rPr>
                <w:t xml:space="preserve">Participación Ciudadana. </w:t>
              </w:r>
              <w:r w:rsidRPr="007C45D1">
                <w:rPr>
                  <w:rFonts w:ascii="Times New Roman" w:eastAsia="Times New Roman" w:hAnsi="Times New Roman" w:cs="Times New Roman"/>
                  <w:i/>
                  <w:iCs/>
                  <w:lang w:val="es-DO" w:eastAsia="es-DO"/>
                </w:rPr>
                <w:t>Séptimo informe del Observatorio de Casos de Corrupción Administrativa: Caso SENASA</w:t>
              </w:r>
              <w:r w:rsidRPr="007C45D1">
                <w:rPr>
                  <w:rFonts w:ascii="Times New Roman" w:eastAsia="Times New Roman" w:hAnsi="Times New Roman" w:cs="Times New Roman"/>
                  <w:lang w:val="es-DO" w:eastAsia="es-DO"/>
                </w:rPr>
                <w:t>. Santo Domingo, 2026.</w:t>
              </w:r>
            </w:p>
            <w:p w14:paraId="3A89D89F" w14:textId="77777777" w:rsidR="007C45D1" w:rsidRPr="007C45D1" w:rsidRDefault="007C45D1" w:rsidP="007C45D1">
              <w:pPr>
                <w:spacing w:before="100" w:beforeAutospacing="1" w:after="100" w:afterAutospacing="1"/>
                <w:rPr>
                  <w:rFonts w:ascii="Times New Roman" w:eastAsia="Times New Roman" w:hAnsi="Times New Roman" w:cs="Times New Roman"/>
                  <w:lang w:val="es-DO" w:eastAsia="es-DO"/>
                </w:rPr>
              </w:pPr>
              <w:r w:rsidRPr="007C45D1">
                <w:rPr>
                  <w:rFonts w:ascii="Times New Roman" w:eastAsia="Times New Roman" w:hAnsi="Times New Roman" w:cs="Times New Roman"/>
                  <w:lang w:val="es-DO" w:eastAsia="es-DO"/>
                </w:rPr>
                <w:t>Prezi. "Las clases sociales en la República Dominicana y los estados".</w:t>
              </w:r>
            </w:p>
            <w:p w14:paraId="49F41FAE" w14:textId="12DDE1AF" w:rsidR="007C45D1" w:rsidRPr="00DC18BE" w:rsidRDefault="007C45D1" w:rsidP="00DC18BE">
              <w:pPr>
                <w:spacing w:before="100" w:beforeAutospacing="1" w:after="100" w:afterAutospacing="1"/>
                <w:rPr>
                  <w:rFonts w:ascii="Times New Roman" w:eastAsia="Times New Roman" w:hAnsi="Times New Roman" w:cs="Times New Roman"/>
                  <w:lang w:val="es-DO" w:eastAsia="es-DO"/>
                </w:rPr>
              </w:pPr>
              <w:r w:rsidRPr="007C45D1">
                <w:rPr>
                  <w:rFonts w:ascii="Times New Roman" w:eastAsia="Times New Roman" w:hAnsi="Times New Roman" w:cs="Times New Roman"/>
                  <w:lang w:val="es-DO" w:eastAsia="es-DO"/>
                </w:rPr>
                <w:t>Tribunal Constitucional de la República Dominicana. Sentencia TC/0048/22, expediente núm. TC-03-2021-0002, 15 de febrero de 2022.</w:t>
              </w:r>
            </w:p>
          </w:sdtContent>
        </w:sdt>
      </w:sdtContent>
    </w:sdt>
    <w:sectPr w:rsidR="007C45D1" w:rsidRPr="00DC18BE">
      <w:footnotePr>
        <w:numRestart w:val="eachSect"/>
      </w:footnotePr>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 w:author="Ana Magnolia Mendez" w:date="2026-07-11T22:41:00Z" w:initials="AM">
    <w:p w14:paraId="1872B610" w14:textId="5C0212FB" w:rsidR="0074750B" w:rsidRDefault="0074750B" w:rsidP="0074750B">
      <w:r>
        <w:rPr>
          <w:rStyle w:val="Refdecomentario"/>
        </w:rPr>
        <w:annotationRef/>
      </w:r>
      <w:r>
        <w:rPr>
          <w:sz w:val="20"/>
          <w:szCs w:val="20"/>
        </w:rPr>
        <w:t>Este párrafo constituye uno de los más sólidos del ensayo. Se incorporan autores doctrinales y se explica adecuadamente la relación entre la corrupción, la discrecionalidad y la debilidad de los controles institucionales.u</w:t>
      </w:r>
    </w:p>
  </w:comment>
  <w:comment w:id="7" w:author="Mia L. Mata Gómez" w:date="2026-07-21T15:20:00Z" w:initials="MLMG">
    <w:p w14:paraId="3D105D4C" w14:textId="37D80879" w:rsidR="00DC18BE" w:rsidRDefault="00DC18BE">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872B610" w15:done="0"/>
  <w15:commentEx w15:paraId="3D105D4C" w15:paraIdParent="1872B6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48FDF2" w16cex:dateUtc="2026-07-12T02:38:00Z"/>
  <w16cex:commentExtensible w16cex:durableId="78D3FDB3" w16cex:dateUtc="2026-07-12T02:40:00Z"/>
  <w16cex:commentExtensible w16cex:durableId="2537573E" w16cex:dateUtc="2026-07-12T02:41:00Z"/>
  <w16cex:commentExtensible w16cex:durableId="39A2EAC1" w16cex:dateUtc="2026-07-12T02:41:00Z"/>
  <w16cex:commentExtensible w16cex:durableId="22FD070B" w16cex:dateUtc="2026-07-12T02:43:00Z"/>
  <w16cex:commentExtensible w16cex:durableId="40121532" w16cex:dateUtc="2026-07-12T02:43:00Z"/>
  <w16cex:commentExtensible w16cex:durableId="25147875" w16cex:dateUtc="2026-07-12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D087169" w16cid:durableId="4648FDF2"/>
  <w16cid:commentId w16cid:paraId="37F9A369" w16cid:durableId="78D3FDB3"/>
  <w16cid:commentId w16cid:paraId="2CB427F9" w16cid:durableId="2537573E"/>
  <w16cid:commentId w16cid:paraId="1872B610" w16cid:durableId="39A2EAC1"/>
  <w16cid:commentId w16cid:paraId="0A1A8238" w16cid:durableId="22FD070B"/>
  <w16cid:commentId w16cid:paraId="680B51B4" w16cid:durableId="40121532"/>
  <w16cid:commentId w16cid:paraId="73D54DDC" w16cid:durableId="2514787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D9437A" w14:textId="77777777" w:rsidR="00544F82" w:rsidRDefault="00544F82" w:rsidP="009B4BBB">
      <w:pPr>
        <w:spacing w:after="0"/>
      </w:pPr>
      <w:r>
        <w:separator/>
      </w:r>
    </w:p>
  </w:endnote>
  <w:endnote w:type="continuationSeparator" w:id="0">
    <w:p w14:paraId="196F1511" w14:textId="77777777" w:rsidR="00544F82" w:rsidRDefault="00544F82" w:rsidP="009B4B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0D170E" w14:textId="77777777" w:rsidR="00544F82" w:rsidRDefault="00544F82" w:rsidP="009B4BBB">
      <w:pPr>
        <w:spacing w:after="0"/>
      </w:pPr>
      <w:r>
        <w:separator/>
      </w:r>
    </w:p>
  </w:footnote>
  <w:footnote w:type="continuationSeparator" w:id="0">
    <w:p w14:paraId="2C2513BE" w14:textId="77777777" w:rsidR="00544F82" w:rsidRDefault="00544F82" w:rsidP="009B4BBB">
      <w:pPr>
        <w:spacing w:after="0"/>
      </w:pPr>
      <w:r>
        <w:continuationSeparator/>
      </w:r>
    </w:p>
  </w:footnote>
  <w:footnote w:id="1">
    <w:p w14:paraId="1078DA80" w14:textId="67CF3B71" w:rsidR="00C424A3" w:rsidRPr="00C424A3" w:rsidRDefault="0056250E" w:rsidP="005E6859">
      <w:pPr>
        <w:pStyle w:val="Textonotapie"/>
        <w:spacing w:after="0"/>
        <w:jc w:val="both"/>
        <w:rPr>
          <w:rFonts w:ascii="Times New Roman" w:hAnsi="Times New Roman" w:cs="Times New Roman"/>
          <w:sz w:val="20"/>
          <w:szCs w:val="20"/>
        </w:rPr>
      </w:pPr>
      <w:r>
        <w:rPr>
          <w:rStyle w:val="Refdenotaalpie"/>
        </w:rPr>
        <w:footnoteRef/>
      </w:r>
      <w:r>
        <w:t xml:space="preserve"> </w:t>
      </w:r>
      <w:r w:rsidRPr="0056250E">
        <w:rPr>
          <w:rFonts w:ascii="Times New Roman" w:hAnsi="Times New Roman" w:cs="Times New Roman"/>
          <w:sz w:val="20"/>
          <w:szCs w:val="20"/>
        </w:rPr>
        <w:t xml:space="preserve">Juan Lladó, "¿La brutal carcajada de la impunidad?", </w:t>
      </w:r>
      <w:r w:rsidRPr="0056250E">
        <w:rPr>
          <w:rFonts w:ascii="Times New Roman" w:hAnsi="Times New Roman" w:cs="Times New Roman"/>
          <w:i/>
          <w:iCs/>
          <w:sz w:val="20"/>
          <w:szCs w:val="20"/>
        </w:rPr>
        <w:t>Acento</w:t>
      </w:r>
      <w:r w:rsidRPr="0056250E">
        <w:rPr>
          <w:rFonts w:ascii="Times New Roman" w:hAnsi="Times New Roman" w:cs="Times New Roman"/>
          <w:sz w:val="20"/>
          <w:szCs w:val="20"/>
        </w:rPr>
        <w:t xml:space="preserve">, 15 de junio de 2026, </w:t>
      </w:r>
      <w:hyperlink r:id="rId1" w:tgtFrame="_new" w:history="1">
        <w:r w:rsidRPr="0056250E">
          <w:rPr>
            <w:rStyle w:val="Hipervnculo"/>
            <w:rFonts w:ascii="Times New Roman" w:hAnsi="Times New Roman" w:cs="Times New Roman"/>
            <w:sz w:val="20"/>
            <w:szCs w:val="20"/>
          </w:rPr>
          <w:t>https://acento.com.do/opinion/la-brutal-carcajada-de-la-impunidad-9698519.html</w:t>
        </w:r>
      </w:hyperlink>
      <w:r w:rsidRPr="0056250E">
        <w:rPr>
          <w:rFonts w:ascii="Times New Roman" w:hAnsi="Times New Roman" w:cs="Times New Roman"/>
          <w:sz w:val="20"/>
          <w:szCs w:val="20"/>
        </w:rPr>
        <w:t>.</w:t>
      </w:r>
    </w:p>
  </w:footnote>
  <w:footnote w:id="2">
    <w:p w14:paraId="7DCBBD75" w14:textId="2D9419A9" w:rsidR="00C424A3" w:rsidRPr="00C424A3" w:rsidRDefault="00CB19B5" w:rsidP="005E6859">
      <w:pPr>
        <w:pStyle w:val="Textonotapie"/>
        <w:spacing w:after="0"/>
        <w:jc w:val="both"/>
        <w:rPr>
          <w:rFonts w:ascii="Times New Roman" w:hAnsi="Times New Roman" w:cs="Times New Roman"/>
          <w:sz w:val="20"/>
          <w:szCs w:val="20"/>
        </w:rPr>
      </w:pPr>
      <w:r w:rsidRPr="0056250E">
        <w:rPr>
          <w:rStyle w:val="Refdenotaalpie"/>
          <w:sz w:val="20"/>
          <w:szCs w:val="20"/>
        </w:rPr>
        <w:footnoteRef/>
      </w:r>
      <w:r w:rsidRPr="0056250E">
        <w:rPr>
          <w:sz w:val="20"/>
          <w:szCs w:val="20"/>
        </w:rPr>
        <w:t xml:space="preserve"> </w:t>
      </w:r>
      <w:r w:rsidRPr="0056250E">
        <w:rPr>
          <w:rStyle w:val="Textoennegrita"/>
          <w:rFonts w:ascii="Times New Roman" w:hAnsi="Times New Roman" w:cs="Times New Roman"/>
          <w:sz w:val="20"/>
          <w:szCs w:val="20"/>
        </w:rPr>
        <w:t>Las clases sociales en la República Dominicana y los estados",</w:t>
      </w:r>
      <w:r w:rsidRPr="0056250E">
        <w:rPr>
          <w:rFonts w:ascii="Times New Roman" w:hAnsi="Times New Roman" w:cs="Times New Roman"/>
          <w:sz w:val="20"/>
          <w:szCs w:val="20"/>
        </w:rPr>
        <w:t xml:space="preserve"> </w:t>
      </w:r>
      <w:r w:rsidRPr="0056250E">
        <w:rPr>
          <w:rStyle w:val="nfasis"/>
          <w:rFonts w:ascii="Times New Roman" w:hAnsi="Times New Roman" w:cs="Times New Roman"/>
          <w:sz w:val="20"/>
          <w:szCs w:val="20"/>
        </w:rPr>
        <w:t>Prezi</w:t>
      </w:r>
      <w:r w:rsidRPr="0056250E">
        <w:rPr>
          <w:rFonts w:ascii="Times New Roman" w:hAnsi="Times New Roman" w:cs="Times New Roman"/>
          <w:sz w:val="20"/>
          <w:szCs w:val="20"/>
        </w:rPr>
        <w:t xml:space="preserve">, consultado el 30 de junio de 2026, </w:t>
      </w:r>
      <w:hyperlink r:id="rId2" w:tgtFrame="_new" w:history="1">
        <w:r w:rsidRPr="0056250E">
          <w:rPr>
            <w:rStyle w:val="Hipervnculo"/>
            <w:rFonts w:ascii="Times New Roman" w:hAnsi="Times New Roman" w:cs="Times New Roman"/>
            <w:sz w:val="20"/>
            <w:szCs w:val="20"/>
          </w:rPr>
          <w:t>https://prezi.com/xdh_e9jpfn5f/las-clases-sociales-en-la-republica-dominicana-y-los-estados/</w:t>
        </w:r>
      </w:hyperlink>
    </w:p>
  </w:footnote>
  <w:footnote w:id="3">
    <w:p w14:paraId="62EB79A3" w14:textId="722F5ADA" w:rsidR="005E6859" w:rsidRPr="005E6859" w:rsidRDefault="005E6859" w:rsidP="005E6859">
      <w:pPr>
        <w:pStyle w:val="Textonotapie"/>
        <w:spacing w:after="0"/>
        <w:jc w:val="both"/>
        <w:rPr>
          <w:lang w:val="es-ES"/>
        </w:rPr>
      </w:pPr>
      <w:r>
        <w:rPr>
          <w:rStyle w:val="Refdenotaalpie"/>
        </w:rPr>
        <w:footnoteRef/>
      </w:r>
      <w:r w:rsidRPr="0074750B">
        <w:rPr>
          <w:lang w:val="en-US"/>
        </w:rPr>
        <w:t xml:space="preserve"> </w:t>
      </w:r>
      <w:r w:rsidRPr="0074750B">
        <w:rPr>
          <w:rFonts w:ascii="Book Antiqua" w:hAnsi="Book Antiqua"/>
          <w:sz w:val="20"/>
          <w:lang w:val="en-US"/>
        </w:rPr>
        <w:t xml:space="preserve">John Emerich Edward Dalberg-Acton, carta a Mandell Creighton, 5 de abril de 1887, en </w:t>
      </w:r>
      <w:r w:rsidRPr="0074750B">
        <w:rPr>
          <w:rFonts w:ascii="Book Antiqua" w:hAnsi="Book Antiqua"/>
          <w:i/>
          <w:iCs/>
          <w:sz w:val="20"/>
          <w:lang w:val="en-US"/>
        </w:rPr>
        <w:t>The Life and Letters of Mandell Creighton</w:t>
      </w:r>
      <w:r w:rsidRPr="0074750B">
        <w:rPr>
          <w:rFonts w:ascii="Book Antiqua" w:hAnsi="Book Antiqua"/>
          <w:sz w:val="20"/>
          <w:lang w:val="en-US"/>
        </w:rPr>
        <w:t xml:space="preserve">, ed. </w:t>
      </w:r>
      <w:r w:rsidRPr="005E6859">
        <w:rPr>
          <w:rFonts w:ascii="Book Antiqua" w:hAnsi="Book Antiqua"/>
          <w:sz w:val="20"/>
        </w:rPr>
        <w:t>Louise Creighton (Londres: Longmans, Green, and Co., 1904), 372.</w:t>
      </w:r>
    </w:p>
  </w:footnote>
  <w:footnote w:id="4">
    <w:p w14:paraId="7806822F" w14:textId="58469688" w:rsidR="00C424A3" w:rsidRPr="00C424A3" w:rsidRDefault="00C424A3">
      <w:pPr>
        <w:pStyle w:val="Textonotapie"/>
        <w:rPr>
          <w:lang w:val="es-ES"/>
        </w:rPr>
      </w:pPr>
      <w:r>
        <w:rPr>
          <w:rStyle w:val="Refdenotaalpie"/>
        </w:rPr>
        <w:footnoteRef/>
      </w:r>
      <w:r>
        <w:t xml:space="preserve"> </w:t>
      </w:r>
      <w:r w:rsidRPr="00C424A3">
        <w:rPr>
          <w:rFonts w:ascii="Book Antiqua" w:hAnsi="Book Antiqua"/>
          <w:i/>
          <w:iCs/>
          <w:sz w:val="16"/>
        </w:rPr>
        <w:t>Diario Libre</w:t>
      </w:r>
      <w:r w:rsidRPr="00C424A3">
        <w:rPr>
          <w:rFonts w:ascii="Book Antiqua" w:hAnsi="Book Antiqua"/>
          <w:sz w:val="16"/>
        </w:rPr>
        <w:t xml:space="preserve">, "Caso Senasa: estos son los ejes de la acusación del Ministerio Público", 9 de diciembre de 2025, </w:t>
      </w:r>
      <w:hyperlink r:id="rId3" w:tgtFrame="_blank" w:history="1">
        <w:r w:rsidRPr="00C424A3">
          <w:rPr>
            <w:rStyle w:val="Hipervnculo"/>
            <w:rFonts w:ascii="Book Antiqua" w:hAnsi="Book Antiqua"/>
            <w:sz w:val="16"/>
          </w:rPr>
          <w:t>https://www.diariolibre.com/actualidad/justicia/2025/12/09/caso-senasa-como-opero-la-estructura/3371521</w:t>
        </w:r>
      </w:hyperlink>
    </w:p>
  </w:footnote>
  <w:footnote w:id="5">
    <w:p w14:paraId="474B98A4" w14:textId="71B44A1F" w:rsidR="00D67C2F" w:rsidRPr="00D67C2F" w:rsidRDefault="00D67C2F" w:rsidP="00D67C2F">
      <w:pPr>
        <w:pStyle w:val="Textonotapie"/>
        <w:rPr>
          <w:lang w:val="es-ES"/>
        </w:rPr>
      </w:pPr>
      <w:r>
        <w:rPr>
          <w:rStyle w:val="Refdenotaalpie"/>
        </w:rPr>
        <w:footnoteRef/>
      </w:r>
      <w:r>
        <w:t xml:space="preserve">  </w:t>
      </w:r>
      <w:r w:rsidRPr="00D67C2F">
        <w:rPr>
          <w:rFonts w:ascii="Book Antiqua" w:hAnsi="Book Antiqua"/>
          <w:sz w:val="18"/>
          <w:szCs w:val="18"/>
        </w:rPr>
        <w:t xml:space="preserve">Allan R. Brewer Carías, "La corrupción administrativa", </w:t>
      </w:r>
      <w:r w:rsidRPr="00D67C2F">
        <w:rPr>
          <w:rStyle w:val="nfasis"/>
          <w:rFonts w:ascii="Book Antiqua" w:hAnsi="Book Antiqua"/>
          <w:sz w:val="18"/>
          <w:szCs w:val="18"/>
        </w:rPr>
        <w:t>Boletín Administración y Hacienda</w:t>
      </w:r>
      <w:r w:rsidRPr="00D67C2F">
        <w:rPr>
          <w:rFonts w:ascii="Book Antiqua" w:hAnsi="Book Antiqua"/>
          <w:sz w:val="18"/>
          <w:szCs w:val="18"/>
        </w:rPr>
        <w:t>, Escuela Nacional de Administración y Hacienda Pública, 1984, 2.</w:t>
      </w:r>
    </w:p>
  </w:footnote>
  <w:footnote w:id="6">
    <w:p w14:paraId="705FE3A9" w14:textId="071B1C54" w:rsidR="00252052" w:rsidRPr="00252052" w:rsidRDefault="00252052">
      <w:pPr>
        <w:pStyle w:val="Textonotapie"/>
        <w:rPr>
          <w:lang w:val="es-ES"/>
        </w:rPr>
      </w:pPr>
      <w:r>
        <w:rPr>
          <w:rStyle w:val="Refdenotaalpie"/>
        </w:rPr>
        <w:footnoteRef/>
      </w:r>
      <w:r>
        <w:t xml:space="preserve"> </w:t>
      </w:r>
      <w:r w:rsidRPr="00252052">
        <w:rPr>
          <w:rFonts w:ascii="Book Antiqua" w:hAnsi="Book Antiqua"/>
          <w:sz w:val="18"/>
          <w:szCs w:val="18"/>
        </w:rPr>
        <w:t>Hugo Borsani, "Corrupción estructural y democracias frágiles: el círculo vicioso latinoamericano", Latinoamérica21, 5 de febrero de 2026, https://latinoamerica21.com/es/corrupcion-estructural-y-democracias-fragiles-el-circulo-vicioso-latinoamericano/</w:t>
      </w:r>
    </w:p>
  </w:footnote>
  <w:footnote w:id="7">
    <w:p w14:paraId="46B2D7A0" w14:textId="683C1643" w:rsidR="00252052" w:rsidRPr="0074750B" w:rsidRDefault="00252052">
      <w:pPr>
        <w:pStyle w:val="Textonotapie"/>
        <w:rPr>
          <w:lang w:val="en-US"/>
        </w:rPr>
      </w:pPr>
      <w:r>
        <w:rPr>
          <w:rStyle w:val="Refdenotaalpie"/>
        </w:rPr>
        <w:footnoteRef/>
      </w:r>
      <w:r>
        <w:t xml:space="preserve"> </w:t>
      </w:r>
      <w:r w:rsidRPr="00252052">
        <w:rPr>
          <w:rFonts w:ascii="Book Antiqua" w:hAnsi="Book Antiqua"/>
          <w:sz w:val="18"/>
          <w:szCs w:val="18"/>
        </w:rPr>
        <w:t xml:space="preserve">Tribunal Constitucional de la República Dominicana, Sentencia TC/0048/22, expediente núm. </w:t>
      </w:r>
      <w:r w:rsidRPr="0074750B">
        <w:rPr>
          <w:rFonts w:ascii="Book Antiqua" w:hAnsi="Book Antiqua"/>
          <w:sz w:val="18"/>
          <w:szCs w:val="18"/>
          <w:lang w:val="en-US"/>
        </w:rPr>
        <w:t>TC-03-2021-0002, 15 de febrero de 2022.</w:t>
      </w:r>
    </w:p>
  </w:footnote>
  <w:footnote w:id="8">
    <w:p w14:paraId="635B1B23" w14:textId="18529BB6" w:rsidR="005F3C24" w:rsidRPr="0074750B" w:rsidRDefault="005F3C24">
      <w:pPr>
        <w:pStyle w:val="Textonotapie"/>
        <w:rPr>
          <w:lang w:val="en-US"/>
        </w:rPr>
      </w:pPr>
      <w:r>
        <w:rPr>
          <w:rStyle w:val="Refdenotaalpie"/>
        </w:rPr>
        <w:footnoteRef/>
      </w:r>
      <w:r w:rsidRPr="0074750B">
        <w:rPr>
          <w:lang w:val="en-US"/>
        </w:rPr>
        <w:t xml:space="preserve"> </w:t>
      </w:r>
      <w:r w:rsidRPr="0074750B">
        <w:rPr>
          <w:rFonts w:ascii="Book Antiqua" w:hAnsi="Book Antiqua"/>
          <w:sz w:val="18"/>
          <w:szCs w:val="18"/>
          <w:lang w:val="en-US"/>
        </w:rPr>
        <w:t>Robert Klitgaard, Controlling Corruption (Berkeley: University of California Press, 1988), 75-79.</w:t>
      </w:r>
    </w:p>
  </w:footnote>
  <w:footnote w:id="9">
    <w:p w14:paraId="7761ABC4" w14:textId="4C9558AC" w:rsidR="004274A7" w:rsidRPr="004274A7" w:rsidRDefault="004274A7">
      <w:pPr>
        <w:pStyle w:val="Textonotapie"/>
        <w:rPr>
          <w:lang w:val="es-ES"/>
        </w:rPr>
      </w:pPr>
      <w:r>
        <w:rPr>
          <w:rStyle w:val="Refdenotaalpie"/>
        </w:rPr>
        <w:footnoteRef/>
      </w:r>
      <w:r>
        <w:t xml:space="preserve"> </w:t>
      </w:r>
      <w:r w:rsidRPr="004274A7">
        <w:rPr>
          <w:rFonts w:ascii="Book Antiqua" w:hAnsi="Book Antiqua"/>
          <w:sz w:val="18"/>
          <w:szCs w:val="18"/>
        </w:rPr>
        <w:t>Organización para la Cooperación y el Desarrollo Económicos, Manual de la OCDE sobre Integridad Pública (París: OECD Publishing, 2020), 15-22.</w:t>
      </w:r>
    </w:p>
  </w:footnote>
  <w:footnote w:id="10">
    <w:p w14:paraId="0F59B68E" w14:textId="0114450B" w:rsidR="004274A7" w:rsidRPr="004274A7" w:rsidRDefault="004274A7">
      <w:pPr>
        <w:pStyle w:val="Textonotapie"/>
        <w:rPr>
          <w:lang w:val="es-ES"/>
        </w:rPr>
      </w:pPr>
      <w:r>
        <w:rPr>
          <w:rStyle w:val="Refdenotaalpie"/>
        </w:rPr>
        <w:footnoteRef/>
      </w:r>
      <w:r>
        <w:t xml:space="preserve"> </w:t>
      </w:r>
      <w:r w:rsidRPr="004274A7">
        <w:rPr>
          <w:rFonts w:ascii="Book Antiqua" w:hAnsi="Book Antiqua"/>
          <w:sz w:val="18"/>
          <w:szCs w:val="18"/>
        </w:rPr>
        <w:t>OpenAI, ChatGPT (modelo GPT-5.5)</w:t>
      </w:r>
    </w:p>
  </w:footnote>
  <w:footnote w:id="11">
    <w:p w14:paraId="6F061594" w14:textId="029EF39F" w:rsidR="00135C20" w:rsidRPr="00135C20" w:rsidRDefault="00135C20">
      <w:pPr>
        <w:pStyle w:val="Textonotapie"/>
        <w:rPr>
          <w:lang w:val="es-ES"/>
        </w:rPr>
      </w:pPr>
      <w:r>
        <w:rPr>
          <w:rStyle w:val="Refdenotaalpie"/>
        </w:rPr>
        <w:footnoteRef/>
      </w:r>
      <w:r>
        <w:t xml:space="preserve"> </w:t>
      </w:r>
      <w:r w:rsidRPr="00A90452">
        <w:rPr>
          <w:rFonts w:ascii="Book Antiqua" w:hAnsi="Book Antiqua"/>
          <w:sz w:val="18"/>
          <w:szCs w:val="18"/>
        </w:rPr>
        <w:t xml:space="preserve">Oficina Nacional de Estadística, </w:t>
      </w:r>
      <w:r w:rsidRPr="00A90452">
        <w:rPr>
          <w:rFonts w:ascii="Book Antiqua" w:hAnsi="Book Antiqua"/>
          <w:i/>
          <w:iCs/>
          <w:sz w:val="18"/>
          <w:szCs w:val="18"/>
        </w:rPr>
        <w:t>Estimación de la Canasta Básica y las Líneas de Pobreza</w:t>
      </w:r>
      <w:r w:rsidRPr="00A90452">
        <w:rPr>
          <w:rFonts w:ascii="Book Antiqua" w:hAnsi="Book Antiqua"/>
          <w:sz w:val="18"/>
          <w:szCs w:val="18"/>
        </w:rPr>
        <w:t xml:space="preserve"> (Santo Domingo: Oficina Nacional de Estadística, julio de 2012), </w:t>
      </w:r>
      <w:hyperlink r:id="rId4" w:tgtFrame="_blank" w:history="1">
        <w:r w:rsidRPr="00A90452">
          <w:rPr>
            <w:rStyle w:val="Hipervnculo"/>
            <w:sz w:val="18"/>
            <w:szCs w:val="18"/>
          </w:rPr>
          <w:t>https://www.one.gob.do/media/tbgk5qqk/documento-canasta-b%C3%A1sica-lineas-pobreza.pdf</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41A49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D966A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7877C45"/>
    <w:multiLevelType w:val="multilevel"/>
    <w:tmpl w:val="6E2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9E6FE2"/>
    <w:multiLevelType w:val="hybridMultilevel"/>
    <w:tmpl w:val="1F28CCB0"/>
    <w:lvl w:ilvl="0" w:tplc="1C0A0001">
      <w:start w:val="1"/>
      <w:numFmt w:val="bullet"/>
      <w:lvlText w:val=""/>
      <w:lvlJc w:val="left"/>
      <w:pPr>
        <w:ind w:left="780" w:hanging="360"/>
      </w:pPr>
      <w:rPr>
        <w:rFonts w:ascii="Symbol" w:hAnsi="Symbol" w:hint="default"/>
      </w:rPr>
    </w:lvl>
    <w:lvl w:ilvl="1" w:tplc="1C0A0003" w:tentative="1">
      <w:start w:val="1"/>
      <w:numFmt w:val="bullet"/>
      <w:lvlText w:val="o"/>
      <w:lvlJc w:val="left"/>
      <w:pPr>
        <w:ind w:left="1500" w:hanging="360"/>
      </w:pPr>
      <w:rPr>
        <w:rFonts w:ascii="Courier New" w:hAnsi="Courier New" w:cs="Courier New" w:hint="default"/>
      </w:rPr>
    </w:lvl>
    <w:lvl w:ilvl="2" w:tplc="1C0A0005" w:tentative="1">
      <w:start w:val="1"/>
      <w:numFmt w:val="bullet"/>
      <w:lvlText w:val=""/>
      <w:lvlJc w:val="left"/>
      <w:pPr>
        <w:ind w:left="2220" w:hanging="360"/>
      </w:pPr>
      <w:rPr>
        <w:rFonts w:ascii="Wingdings" w:hAnsi="Wingdings" w:hint="default"/>
      </w:rPr>
    </w:lvl>
    <w:lvl w:ilvl="3" w:tplc="1C0A0001" w:tentative="1">
      <w:start w:val="1"/>
      <w:numFmt w:val="bullet"/>
      <w:lvlText w:val=""/>
      <w:lvlJc w:val="left"/>
      <w:pPr>
        <w:ind w:left="2940" w:hanging="360"/>
      </w:pPr>
      <w:rPr>
        <w:rFonts w:ascii="Symbol" w:hAnsi="Symbol" w:hint="default"/>
      </w:rPr>
    </w:lvl>
    <w:lvl w:ilvl="4" w:tplc="1C0A0003" w:tentative="1">
      <w:start w:val="1"/>
      <w:numFmt w:val="bullet"/>
      <w:lvlText w:val="o"/>
      <w:lvlJc w:val="left"/>
      <w:pPr>
        <w:ind w:left="3660" w:hanging="360"/>
      </w:pPr>
      <w:rPr>
        <w:rFonts w:ascii="Courier New" w:hAnsi="Courier New" w:cs="Courier New" w:hint="default"/>
      </w:rPr>
    </w:lvl>
    <w:lvl w:ilvl="5" w:tplc="1C0A0005" w:tentative="1">
      <w:start w:val="1"/>
      <w:numFmt w:val="bullet"/>
      <w:lvlText w:val=""/>
      <w:lvlJc w:val="left"/>
      <w:pPr>
        <w:ind w:left="4380" w:hanging="360"/>
      </w:pPr>
      <w:rPr>
        <w:rFonts w:ascii="Wingdings" w:hAnsi="Wingdings" w:hint="default"/>
      </w:rPr>
    </w:lvl>
    <w:lvl w:ilvl="6" w:tplc="1C0A0001" w:tentative="1">
      <w:start w:val="1"/>
      <w:numFmt w:val="bullet"/>
      <w:lvlText w:val=""/>
      <w:lvlJc w:val="left"/>
      <w:pPr>
        <w:ind w:left="5100" w:hanging="360"/>
      </w:pPr>
      <w:rPr>
        <w:rFonts w:ascii="Symbol" w:hAnsi="Symbol" w:hint="default"/>
      </w:rPr>
    </w:lvl>
    <w:lvl w:ilvl="7" w:tplc="1C0A0003" w:tentative="1">
      <w:start w:val="1"/>
      <w:numFmt w:val="bullet"/>
      <w:lvlText w:val="o"/>
      <w:lvlJc w:val="left"/>
      <w:pPr>
        <w:ind w:left="5820" w:hanging="360"/>
      </w:pPr>
      <w:rPr>
        <w:rFonts w:ascii="Courier New" w:hAnsi="Courier New" w:cs="Courier New" w:hint="default"/>
      </w:rPr>
    </w:lvl>
    <w:lvl w:ilvl="8" w:tplc="1C0A0005" w:tentative="1">
      <w:start w:val="1"/>
      <w:numFmt w:val="bullet"/>
      <w:lvlText w:val=""/>
      <w:lvlJc w:val="left"/>
      <w:pPr>
        <w:ind w:left="654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3"/>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a Magnolia Mendez">
    <w15:presenceInfo w15:providerId="Windows Live" w15:userId="799484978ad64ca5"/>
  </w15:person>
  <w15:person w15:author="Mia L. Mata Gómez">
    <w15:presenceInfo w15:providerId="AD" w15:userId="S-1-5-21-3975230853-1100500714-1018882407-65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D54"/>
    <w:rsid w:val="00026DE3"/>
    <w:rsid w:val="00084EDB"/>
    <w:rsid w:val="0013554F"/>
    <w:rsid w:val="00135C20"/>
    <w:rsid w:val="00146588"/>
    <w:rsid w:val="00252052"/>
    <w:rsid w:val="00303558"/>
    <w:rsid w:val="003338D0"/>
    <w:rsid w:val="00372DCA"/>
    <w:rsid w:val="003C1D54"/>
    <w:rsid w:val="004274A7"/>
    <w:rsid w:val="00497996"/>
    <w:rsid w:val="004E219A"/>
    <w:rsid w:val="004F0FBB"/>
    <w:rsid w:val="00544F82"/>
    <w:rsid w:val="0056250E"/>
    <w:rsid w:val="005734F5"/>
    <w:rsid w:val="005E6859"/>
    <w:rsid w:val="005F3C24"/>
    <w:rsid w:val="00650B6F"/>
    <w:rsid w:val="00683EBF"/>
    <w:rsid w:val="006E1BDE"/>
    <w:rsid w:val="006F20CF"/>
    <w:rsid w:val="00714605"/>
    <w:rsid w:val="0074750B"/>
    <w:rsid w:val="007664AE"/>
    <w:rsid w:val="007C45D1"/>
    <w:rsid w:val="008D14C5"/>
    <w:rsid w:val="00943AB9"/>
    <w:rsid w:val="00960F40"/>
    <w:rsid w:val="009751A3"/>
    <w:rsid w:val="0098351A"/>
    <w:rsid w:val="009B34DC"/>
    <w:rsid w:val="009B4BBB"/>
    <w:rsid w:val="00A72637"/>
    <w:rsid w:val="00A90452"/>
    <w:rsid w:val="00AB6B5A"/>
    <w:rsid w:val="00BC34A1"/>
    <w:rsid w:val="00C11D2C"/>
    <w:rsid w:val="00C424A3"/>
    <w:rsid w:val="00CB19B5"/>
    <w:rsid w:val="00CE2C93"/>
    <w:rsid w:val="00D67C2F"/>
    <w:rsid w:val="00DC18BE"/>
    <w:rsid w:val="00F17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1334"/>
  <w15:docId w15:val="{93D46C73-23C2-7C4E-9BB8-19862CD5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US"/>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uiPriority w:val="34"/>
    <w:qFormat/>
    <w:rsid w:val="00714605"/>
    <w:pPr>
      <w:spacing w:after="160" w:line="278" w:lineRule="auto"/>
      <w:ind w:left="720"/>
      <w:contextualSpacing/>
    </w:pPr>
    <w:rPr>
      <w:kern w:val="2"/>
      <w:lang w:val="en-US"/>
      <w14:ligatures w14:val="standardContextual"/>
    </w:rPr>
  </w:style>
  <w:style w:type="character" w:styleId="nfasis">
    <w:name w:val="Emphasis"/>
    <w:basedOn w:val="Fuentedeprrafopredeter"/>
    <w:uiPriority w:val="20"/>
    <w:qFormat/>
    <w:rsid w:val="00084EDB"/>
    <w:rPr>
      <w:i/>
      <w:iCs/>
    </w:rPr>
  </w:style>
  <w:style w:type="character" w:styleId="Textoennegrita">
    <w:name w:val="Strong"/>
    <w:basedOn w:val="Fuentedeprrafopredeter"/>
    <w:uiPriority w:val="22"/>
    <w:qFormat/>
    <w:rsid w:val="00CB19B5"/>
    <w:rPr>
      <w:b/>
      <w:bCs/>
    </w:rPr>
  </w:style>
  <w:style w:type="paragraph" w:styleId="NormalWeb">
    <w:name w:val="Normal (Web)"/>
    <w:basedOn w:val="Normal"/>
    <w:uiPriority w:val="99"/>
    <w:unhideWhenUsed/>
    <w:rsid w:val="00F174F9"/>
    <w:pPr>
      <w:spacing w:before="100" w:beforeAutospacing="1" w:after="100" w:afterAutospacing="1"/>
    </w:pPr>
    <w:rPr>
      <w:rFonts w:ascii="Times New Roman" w:eastAsia="Times New Roman" w:hAnsi="Times New Roman" w:cs="Times New Roman"/>
      <w:lang w:val="es-DO" w:eastAsia="es-DO"/>
    </w:rPr>
  </w:style>
  <w:style w:type="paragraph" w:styleId="Textonotaalfinal">
    <w:name w:val="endnote text"/>
    <w:basedOn w:val="Normal"/>
    <w:link w:val="TextonotaalfinalCar"/>
    <w:rsid w:val="00A90452"/>
    <w:pPr>
      <w:spacing w:after="0"/>
    </w:pPr>
    <w:rPr>
      <w:sz w:val="20"/>
      <w:szCs w:val="20"/>
    </w:rPr>
  </w:style>
  <w:style w:type="character" w:customStyle="1" w:styleId="TextonotaalfinalCar">
    <w:name w:val="Texto nota al final Car"/>
    <w:basedOn w:val="Fuentedeprrafopredeter"/>
    <w:link w:val="Textonotaalfinal"/>
    <w:rsid w:val="00A90452"/>
    <w:rPr>
      <w:sz w:val="20"/>
      <w:szCs w:val="20"/>
      <w:lang w:val="es-US"/>
    </w:rPr>
  </w:style>
  <w:style w:type="character" w:styleId="Refdenotaalfinal">
    <w:name w:val="endnote reference"/>
    <w:basedOn w:val="Fuentedeprrafopredeter"/>
    <w:rsid w:val="00A90452"/>
    <w:rPr>
      <w:vertAlign w:val="superscript"/>
    </w:rPr>
  </w:style>
  <w:style w:type="paragraph" w:customStyle="1" w:styleId="pdq2pgselectionanchorcontainer">
    <w:name w:val="pdq2pg_selectionanchorcontainer"/>
    <w:basedOn w:val="Normal"/>
    <w:rsid w:val="007C45D1"/>
    <w:pPr>
      <w:spacing w:before="100" w:beforeAutospacing="1" w:after="100" w:afterAutospacing="1"/>
    </w:pPr>
    <w:rPr>
      <w:rFonts w:ascii="Times New Roman" w:eastAsia="Times New Roman" w:hAnsi="Times New Roman" w:cs="Times New Roman"/>
      <w:lang w:val="es-DO" w:eastAsia="es-DO"/>
    </w:rPr>
  </w:style>
  <w:style w:type="character" w:styleId="Refdecomentario">
    <w:name w:val="annotation reference"/>
    <w:basedOn w:val="Fuentedeprrafopredeter"/>
    <w:rsid w:val="0074750B"/>
    <w:rPr>
      <w:sz w:val="16"/>
      <w:szCs w:val="16"/>
    </w:rPr>
  </w:style>
  <w:style w:type="paragraph" w:styleId="Textocomentario">
    <w:name w:val="annotation text"/>
    <w:basedOn w:val="Normal"/>
    <w:link w:val="TextocomentarioCar"/>
    <w:rsid w:val="0074750B"/>
    <w:rPr>
      <w:sz w:val="20"/>
      <w:szCs w:val="20"/>
    </w:rPr>
  </w:style>
  <w:style w:type="character" w:customStyle="1" w:styleId="TextocomentarioCar">
    <w:name w:val="Texto comentario Car"/>
    <w:basedOn w:val="Fuentedeprrafopredeter"/>
    <w:link w:val="Textocomentario"/>
    <w:rsid w:val="0074750B"/>
    <w:rPr>
      <w:sz w:val="20"/>
      <w:szCs w:val="20"/>
      <w:lang w:val="es-US"/>
    </w:rPr>
  </w:style>
  <w:style w:type="paragraph" w:styleId="Asuntodelcomentario">
    <w:name w:val="annotation subject"/>
    <w:basedOn w:val="Textocomentario"/>
    <w:next w:val="Textocomentario"/>
    <w:link w:val="AsuntodelcomentarioCar"/>
    <w:rsid w:val="0074750B"/>
    <w:rPr>
      <w:b/>
      <w:bCs/>
    </w:rPr>
  </w:style>
  <w:style w:type="character" w:customStyle="1" w:styleId="AsuntodelcomentarioCar">
    <w:name w:val="Asunto del comentario Car"/>
    <w:basedOn w:val="TextocomentarioCar"/>
    <w:link w:val="Asuntodelcomentario"/>
    <w:rsid w:val="0074750B"/>
    <w:rPr>
      <w:b/>
      <w:bCs/>
      <w:sz w:val="20"/>
      <w:szCs w:val="20"/>
      <w:lang w:val="es-US"/>
    </w:rPr>
  </w:style>
  <w:style w:type="paragraph" w:styleId="Textodeglobo">
    <w:name w:val="Balloon Text"/>
    <w:basedOn w:val="Normal"/>
    <w:link w:val="TextodegloboCar"/>
    <w:rsid w:val="004E219A"/>
    <w:pPr>
      <w:spacing w:after="0"/>
    </w:pPr>
    <w:rPr>
      <w:rFonts w:ascii="Segoe UI" w:hAnsi="Segoe UI" w:cs="Segoe UI"/>
      <w:sz w:val="18"/>
      <w:szCs w:val="18"/>
    </w:rPr>
  </w:style>
  <w:style w:type="character" w:customStyle="1" w:styleId="TextodegloboCar">
    <w:name w:val="Texto de globo Car"/>
    <w:basedOn w:val="Fuentedeprrafopredeter"/>
    <w:link w:val="Textodeglobo"/>
    <w:rsid w:val="004E219A"/>
    <w:rPr>
      <w:rFonts w:ascii="Segoe UI" w:hAnsi="Segoe UI" w:cs="Segoe UI"/>
      <w:sz w:val="18"/>
      <w:szCs w:val="18"/>
      <w:lang w:val="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10011">
      <w:bodyDiv w:val="1"/>
      <w:marLeft w:val="0"/>
      <w:marRight w:val="0"/>
      <w:marTop w:val="0"/>
      <w:marBottom w:val="0"/>
      <w:divBdr>
        <w:top w:val="none" w:sz="0" w:space="0" w:color="auto"/>
        <w:left w:val="none" w:sz="0" w:space="0" w:color="auto"/>
        <w:bottom w:val="none" w:sz="0" w:space="0" w:color="auto"/>
        <w:right w:val="none" w:sz="0" w:space="0" w:color="auto"/>
      </w:divBdr>
    </w:div>
    <w:div w:id="264389094">
      <w:bodyDiv w:val="1"/>
      <w:marLeft w:val="0"/>
      <w:marRight w:val="0"/>
      <w:marTop w:val="0"/>
      <w:marBottom w:val="0"/>
      <w:divBdr>
        <w:top w:val="none" w:sz="0" w:space="0" w:color="auto"/>
        <w:left w:val="none" w:sz="0" w:space="0" w:color="auto"/>
        <w:bottom w:val="none" w:sz="0" w:space="0" w:color="auto"/>
        <w:right w:val="none" w:sz="0" w:space="0" w:color="auto"/>
      </w:divBdr>
    </w:div>
    <w:div w:id="304547700">
      <w:bodyDiv w:val="1"/>
      <w:marLeft w:val="0"/>
      <w:marRight w:val="0"/>
      <w:marTop w:val="0"/>
      <w:marBottom w:val="0"/>
      <w:divBdr>
        <w:top w:val="none" w:sz="0" w:space="0" w:color="auto"/>
        <w:left w:val="none" w:sz="0" w:space="0" w:color="auto"/>
        <w:bottom w:val="none" w:sz="0" w:space="0" w:color="auto"/>
        <w:right w:val="none" w:sz="0" w:space="0" w:color="auto"/>
      </w:divBdr>
    </w:div>
    <w:div w:id="304744500">
      <w:bodyDiv w:val="1"/>
      <w:marLeft w:val="0"/>
      <w:marRight w:val="0"/>
      <w:marTop w:val="0"/>
      <w:marBottom w:val="0"/>
      <w:divBdr>
        <w:top w:val="none" w:sz="0" w:space="0" w:color="auto"/>
        <w:left w:val="none" w:sz="0" w:space="0" w:color="auto"/>
        <w:bottom w:val="none" w:sz="0" w:space="0" w:color="auto"/>
        <w:right w:val="none" w:sz="0" w:space="0" w:color="auto"/>
      </w:divBdr>
    </w:div>
    <w:div w:id="552816572">
      <w:bodyDiv w:val="1"/>
      <w:marLeft w:val="0"/>
      <w:marRight w:val="0"/>
      <w:marTop w:val="0"/>
      <w:marBottom w:val="0"/>
      <w:divBdr>
        <w:top w:val="none" w:sz="0" w:space="0" w:color="auto"/>
        <w:left w:val="none" w:sz="0" w:space="0" w:color="auto"/>
        <w:bottom w:val="none" w:sz="0" w:space="0" w:color="auto"/>
        <w:right w:val="none" w:sz="0" w:space="0" w:color="auto"/>
      </w:divBdr>
    </w:div>
    <w:div w:id="605770748">
      <w:bodyDiv w:val="1"/>
      <w:marLeft w:val="0"/>
      <w:marRight w:val="0"/>
      <w:marTop w:val="0"/>
      <w:marBottom w:val="0"/>
      <w:divBdr>
        <w:top w:val="none" w:sz="0" w:space="0" w:color="auto"/>
        <w:left w:val="none" w:sz="0" w:space="0" w:color="auto"/>
        <w:bottom w:val="none" w:sz="0" w:space="0" w:color="auto"/>
        <w:right w:val="none" w:sz="0" w:space="0" w:color="auto"/>
      </w:divBdr>
    </w:div>
    <w:div w:id="1105539423">
      <w:bodyDiv w:val="1"/>
      <w:marLeft w:val="0"/>
      <w:marRight w:val="0"/>
      <w:marTop w:val="0"/>
      <w:marBottom w:val="0"/>
      <w:divBdr>
        <w:top w:val="none" w:sz="0" w:space="0" w:color="auto"/>
        <w:left w:val="none" w:sz="0" w:space="0" w:color="auto"/>
        <w:bottom w:val="none" w:sz="0" w:space="0" w:color="auto"/>
        <w:right w:val="none" w:sz="0" w:space="0" w:color="auto"/>
      </w:divBdr>
    </w:div>
    <w:div w:id="1233278191">
      <w:bodyDiv w:val="1"/>
      <w:marLeft w:val="0"/>
      <w:marRight w:val="0"/>
      <w:marTop w:val="0"/>
      <w:marBottom w:val="0"/>
      <w:divBdr>
        <w:top w:val="none" w:sz="0" w:space="0" w:color="auto"/>
        <w:left w:val="none" w:sz="0" w:space="0" w:color="auto"/>
        <w:bottom w:val="none" w:sz="0" w:space="0" w:color="auto"/>
        <w:right w:val="none" w:sz="0" w:space="0" w:color="auto"/>
      </w:divBdr>
    </w:div>
    <w:div w:id="1534536490">
      <w:bodyDiv w:val="1"/>
      <w:marLeft w:val="0"/>
      <w:marRight w:val="0"/>
      <w:marTop w:val="0"/>
      <w:marBottom w:val="0"/>
      <w:divBdr>
        <w:top w:val="none" w:sz="0" w:space="0" w:color="auto"/>
        <w:left w:val="none" w:sz="0" w:space="0" w:color="auto"/>
        <w:bottom w:val="none" w:sz="0" w:space="0" w:color="auto"/>
        <w:right w:val="none" w:sz="0" w:space="0" w:color="auto"/>
      </w:divBdr>
    </w:div>
    <w:div w:id="1619212747">
      <w:bodyDiv w:val="1"/>
      <w:marLeft w:val="0"/>
      <w:marRight w:val="0"/>
      <w:marTop w:val="0"/>
      <w:marBottom w:val="0"/>
      <w:divBdr>
        <w:top w:val="none" w:sz="0" w:space="0" w:color="auto"/>
        <w:left w:val="none" w:sz="0" w:space="0" w:color="auto"/>
        <w:bottom w:val="none" w:sz="0" w:space="0" w:color="auto"/>
        <w:right w:val="none" w:sz="0" w:space="0" w:color="auto"/>
      </w:divBdr>
    </w:div>
    <w:div w:id="18696363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_rels/footnotes.xml.rels><?xml version="1.0" encoding="UTF-8" standalone="yes"?>
<Relationships xmlns="http://schemas.openxmlformats.org/package/2006/relationships"><Relationship Id="rId3" Type="http://schemas.openxmlformats.org/officeDocument/2006/relationships/hyperlink" Target="https://www.diariolibre.com/actualidad/justicia/2025/12/09/caso-senasa-como-opero-la-estructura/3371521?utm_source=chatgpt.com" TargetMode="External"/><Relationship Id="rId2" Type="http://schemas.openxmlformats.org/officeDocument/2006/relationships/hyperlink" Target="https://prezi.com/xdh_e9jpfn5f/las-clases-sociales-en-la-republica-dominicana-y-los-estados/" TargetMode="External"/><Relationship Id="rId1" Type="http://schemas.openxmlformats.org/officeDocument/2006/relationships/hyperlink" Target="https://acento.com.do/opinion/la-brutal-carcajada-de-la-impunidad-9698519.html" TargetMode="External"/><Relationship Id="rId4" Type="http://schemas.openxmlformats.org/officeDocument/2006/relationships/hyperlink" Target="https://www.one.gob.do/media/tbgk5qqk/documento-canasta-b%C3%A1sica-lineas-pobreza.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Iva26</b:Tag>
    <b:SourceType>Report</b:SourceType>
    <b:Guid>{0671DD2F-03EE-4754-A4D6-4BC272DF5187}</b:Guid>
    <b:Author>
      <b:Author>
        <b:NameList>
          <b:Person>
            <b:Last>Cruz</b:Last>
            <b:First>Ivan</b:First>
            <b:Middle>de la</b:Middle>
          </b:Person>
        </b:NameList>
      </b:Author>
    </b:Author>
    <b:Title>Séptimo informe del observatorio de casos de corrupción administrativa:</b:Title>
    <b:Year>2026</b:Year>
    <b:Publisher>Participación ciudadana</b:Publisher>
    <b:RefOrder>1</b:RefOrder>
  </b:Source>
</b:Sources>
</file>

<file path=customXml/itemProps1.xml><?xml version="1.0" encoding="utf-8"?>
<ds:datastoreItem xmlns:ds="http://schemas.openxmlformats.org/officeDocument/2006/customXml" ds:itemID="{69ADD0E4-7473-4DF9-AF4F-D1B507A85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2179</Words>
  <Characters>11987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Magnolia Mendez</dc:creator>
  <cp:keywords/>
  <cp:lastModifiedBy>Mia L. Mata Gómez</cp:lastModifiedBy>
  <cp:revision>2</cp:revision>
  <dcterms:created xsi:type="dcterms:W3CDTF">2026-07-21T20:28:00Z</dcterms:created>
  <dcterms:modified xsi:type="dcterms:W3CDTF">2026-07-21T20:28:00Z</dcterms:modified>
</cp:coreProperties>
</file>