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template.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EDF0F4" w14:textId="77777777" w:rsidR="00EF22BE" w:rsidRDefault="00EF22BE" w:rsidP="00EF22BE">
      <w:pPr>
        <w:spacing w:after="480"/>
        <w:rPr>
          <w:rFonts w:ascii="Times New Roman" w:hAnsi="Times New Roman" w:cs="Times New Roman"/>
          <w:b/>
          <w:color w:val="000000" w:themeColor="text1"/>
          <w:sz w:val="20"/>
        </w:rPr>
      </w:pPr>
    </w:p>
    <w:p w14:paraId="526EA03A" w14:textId="4D4C949C" w:rsidR="002E084E" w:rsidRPr="002E084E" w:rsidRDefault="002E084E" w:rsidP="002E084E">
      <w:pPr>
        <w:spacing w:after="480"/>
        <w:jc w:val="center"/>
        <w:rPr>
          <w:rFonts w:ascii="Times New Roman" w:hAnsi="Times New Roman" w:cs="Times New Roman"/>
          <w:color w:val="000000" w:themeColor="text1"/>
        </w:rPr>
      </w:pPr>
      <w:r w:rsidRPr="002E084E">
        <w:rPr>
          <w:rFonts w:ascii="Times New Roman" w:hAnsi="Times New Roman" w:cs="Times New Roman"/>
          <w:b/>
          <w:color w:val="000000" w:themeColor="text1"/>
          <w:sz w:val="20"/>
        </w:rPr>
        <w:t>PONTIFICIA UNIVERSIDAD CATÓLICA MADRE Y MAESTRA</w:t>
      </w:r>
      <w:r w:rsidRPr="002E084E">
        <w:rPr>
          <w:rFonts w:ascii="Times New Roman" w:hAnsi="Times New Roman" w:cs="Times New Roman"/>
          <w:b/>
          <w:color w:val="000000" w:themeColor="text1"/>
          <w:sz w:val="20"/>
        </w:rPr>
        <w:br/>
        <w:t>CAMPUS SANTO DOMINGO</w:t>
      </w:r>
      <w:r w:rsidRPr="002E084E">
        <w:rPr>
          <w:rFonts w:ascii="Times New Roman" w:hAnsi="Times New Roman" w:cs="Times New Roman"/>
          <w:b/>
          <w:color w:val="000000" w:themeColor="text1"/>
          <w:sz w:val="20"/>
        </w:rPr>
        <w:br/>
        <w:t>FACULTAD DE CIENCIAS SOCIALES, HUMANIDADES Y ARTES</w:t>
      </w:r>
      <w:r w:rsidRPr="002E084E">
        <w:rPr>
          <w:rFonts w:ascii="Times New Roman" w:hAnsi="Times New Roman" w:cs="Times New Roman"/>
          <w:b/>
          <w:color w:val="000000" w:themeColor="text1"/>
          <w:sz w:val="20"/>
        </w:rPr>
        <w:br/>
        <w:t>DEPARTAMENTO DE DERECHO</w:t>
      </w:r>
    </w:p>
    <w:p w14:paraId="7905AA15" w14:textId="77777777" w:rsidR="002E084E" w:rsidRPr="002E084E" w:rsidRDefault="002E084E" w:rsidP="002E084E">
      <w:pPr>
        <w:spacing w:after="120"/>
        <w:jc w:val="center"/>
        <w:rPr>
          <w:rFonts w:ascii="Times New Roman" w:hAnsi="Times New Roman" w:cs="Times New Roman"/>
          <w:color w:val="000000" w:themeColor="text1"/>
        </w:rPr>
      </w:pPr>
      <w:r w:rsidRPr="002E084E">
        <w:rPr>
          <w:rFonts w:ascii="Times New Roman" w:hAnsi="Times New Roman" w:cs="Times New Roman"/>
          <w:b/>
          <w:color w:val="000000" w:themeColor="text1"/>
          <w:sz w:val="28"/>
        </w:rPr>
        <w:t>LA INSUFICIENCIA DEL MARCO JURÍDICO DOMINICANO ANTE LOS CASOS DE VIOLENCIA DIGITAL Y CIBERACOSO ENTRE MENORES DE EDAD: ESTUDIO DE LOS VACÍOS LEGALES EXISTENTES DESDE EL AÑO 2022 HASTA LA ACTUALIDAD</w:t>
      </w:r>
    </w:p>
    <w:p w14:paraId="695ADFBD" w14:textId="77777777" w:rsidR="002E084E" w:rsidRPr="002E084E" w:rsidRDefault="002E084E" w:rsidP="002E084E">
      <w:pPr>
        <w:spacing w:after="360"/>
        <w:jc w:val="center"/>
        <w:rPr>
          <w:rFonts w:ascii="Times New Roman" w:hAnsi="Times New Roman" w:cs="Times New Roman"/>
          <w:color w:val="000000" w:themeColor="text1"/>
        </w:rPr>
      </w:pPr>
      <w:r w:rsidRPr="002E084E">
        <w:rPr>
          <w:rFonts w:ascii="Times New Roman" w:hAnsi="Times New Roman" w:cs="Times New Roman"/>
          <w:b/>
          <w:i/>
          <w:color w:val="000000" w:themeColor="text1"/>
        </w:rPr>
        <w:t>The insufficiency of the Dominican legal framework in cases of digital violence and cyberbullying among minors: study of existing legal vacuums from the year 2022 to the present</w:t>
      </w:r>
    </w:p>
    <w:p w14:paraId="5E463617" w14:textId="32FE07ED" w:rsidR="002E084E" w:rsidRPr="002E084E" w:rsidRDefault="002E084E" w:rsidP="002E084E">
      <w:pPr>
        <w:spacing w:after="360"/>
        <w:jc w:val="center"/>
        <w:rPr>
          <w:rFonts w:ascii="Times New Roman" w:hAnsi="Times New Roman" w:cs="Times New Roman"/>
          <w:color w:val="000000" w:themeColor="text1"/>
        </w:rPr>
      </w:pPr>
      <w:r w:rsidRPr="002E084E">
        <w:rPr>
          <w:rFonts w:ascii="Times New Roman" w:hAnsi="Times New Roman" w:cs="Times New Roman"/>
          <w:b/>
          <w:color w:val="000000" w:themeColor="text1"/>
          <w:sz w:val="22"/>
        </w:rPr>
        <w:t>Minerva María Reyes Montilla</w:t>
      </w:r>
    </w:p>
    <w:p w14:paraId="469607CB" w14:textId="77777777" w:rsidR="002E084E" w:rsidRPr="002E084E" w:rsidRDefault="002E084E" w:rsidP="002E084E">
      <w:pPr>
        <w:spacing w:after="120"/>
        <w:rPr>
          <w:rFonts w:ascii="Times New Roman" w:hAnsi="Times New Roman" w:cs="Times New Roman"/>
          <w:color w:val="000000" w:themeColor="text1"/>
        </w:rPr>
      </w:pPr>
      <w:r w:rsidRPr="002E084E">
        <w:rPr>
          <w:rFonts w:ascii="Times New Roman" w:hAnsi="Times New Roman" w:cs="Times New Roman"/>
          <w:b/>
          <w:color w:val="000000" w:themeColor="text1"/>
          <w:sz w:val="22"/>
        </w:rPr>
        <w:t>RESUMEN</w:t>
      </w:r>
    </w:p>
    <w:p w14:paraId="04B5BEC2" w14:textId="77777777" w:rsidR="002E084E" w:rsidRPr="002E084E" w:rsidRDefault="002E084E" w:rsidP="002E084E">
      <w:pPr>
        <w:spacing w:after="120"/>
        <w:jc w:val="both"/>
        <w:rPr>
          <w:rFonts w:ascii="Times New Roman" w:hAnsi="Times New Roman" w:cs="Times New Roman"/>
          <w:color w:val="000000" w:themeColor="text1"/>
        </w:rPr>
      </w:pPr>
      <w:r w:rsidRPr="002E084E">
        <w:rPr>
          <w:rFonts w:ascii="Times New Roman" w:hAnsi="Times New Roman" w:cs="Times New Roman"/>
          <w:color w:val="000000" w:themeColor="text1"/>
          <w:sz w:val="20"/>
        </w:rPr>
        <w:t>La rápida expansión de las tecnologías de la información y la comunicación ha transformado la interacción social entre niños, niñas y adolescentes, propiciando nuevas manifestaciones de violencia como la violencia digital y el ciberacoso. Ante este panorama, se sostiene como tesis que el marco normativo penal e institucional vigente en la República Dominicana resulta desactualizado e insuficiente para responder a la naturaleza de la violencia digital en menores, generando lagunas procesales e impunidad que vulneran el principio del interés superior del niño. A través de una metodología de investigación documental y analítica de carácter jurídico, se examinan los vacíos normativos en la Ley No. 53-07 sobre Crímenes y Delitos de Alta Tecnología y en el sistema de medidas socioeducativas de la Ley No. 136-03, abarcando el periodo desde el año 2022 hasta la actualidad. Asimismo, se analiza la jurisprudencia constitucional dominicana pertinente, específicamente las sentencias TC/0042/12 y TC/0468/24, y se evalúan las limitaciones de las fiscalías e instituciones en la investigación y persecución de estos hechos. Los resultados demuestran la existencia de vacíos jurídicos significativos debido a la ausencia de una regulación específica de responsabilidad penal juvenil para delitos de alta tecnología y la falta de tipos autónomos en el Código Penal aplicables a adolescentes. Además, se comprobó que el Tribunal Constitucional aborda la protección desde una perspectiva general o analógica, dejando sin definir criterios específicos para la valoración de pruebas digitales, el anonimato en redes sociales o el impacto psicológico continuado del acoso virtual, lo que propicia escenarios de impunidad procesal y desprotección de las víctimas menores de edad. Como conclusión, se determina que la legislación dominicana requiere reformas estructurales prioritarias: la tipificación autónoma del ciberacoso y la difusión no consentida de imágenes en el Código Penal, y la actualización de la Ley No. 136-03 para incorporar medidas socioeducativas especializadas en entornos digitales y protocolos de ciberseguridad escolar, equilibrando la educación digital y la justicia restaurativa antes que la sola respuesta punitiva.</w:t>
      </w:r>
    </w:p>
    <w:p w14:paraId="4B63BAF1" w14:textId="77777777" w:rsidR="002E084E" w:rsidRPr="002E084E" w:rsidRDefault="002E084E" w:rsidP="002E084E">
      <w:pPr>
        <w:spacing w:after="360"/>
        <w:rPr>
          <w:rFonts w:ascii="Times New Roman" w:hAnsi="Times New Roman" w:cs="Times New Roman"/>
          <w:color w:val="000000" w:themeColor="text1"/>
        </w:rPr>
      </w:pPr>
      <w:r w:rsidRPr="002E084E">
        <w:rPr>
          <w:rFonts w:ascii="Times New Roman" w:hAnsi="Times New Roman" w:cs="Times New Roman"/>
          <w:b/>
          <w:color w:val="000000" w:themeColor="text1"/>
          <w:sz w:val="20"/>
        </w:rPr>
        <w:t xml:space="preserve">Palabras claves: </w:t>
      </w:r>
      <w:r w:rsidRPr="002E084E">
        <w:rPr>
          <w:rFonts w:ascii="Times New Roman" w:hAnsi="Times New Roman" w:cs="Times New Roman"/>
          <w:color w:val="000000" w:themeColor="text1"/>
          <w:sz w:val="20"/>
        </w:rPr>
        <w:t>VIOLENCIA DIGITAL - CIBERACOSO - RESPONSABILIDAD PENAL ADOLESCENTE - VACÍOS LEGALES - INTERÉS SUPERIOR DEL NIÑO</w:t>
      </w:r>
    </w:p>
    <w:p w14:paraId="4C079EAB" w14:textId="77777777" w:rsidR="002E084E" w:rsidRPr="002E084E" w:rsidRDefault="002E084E" w:rsidP="002E084E">
      <w:pPr>
        <w:spacing w:after="120"/>
        <w:rPr>
          <w:rFonts w:ascii="Times New Roman" w:hAnsi="Times New Roman" w:cs="Times New Roman"/>
          <w:color w:val="000000" w:themeColor="text1"/>
        </w:rPr>
      </w:pPr>
      <w:r w:rsidRPr="002E084E">
        <w:rPr>
          <w:rFonts w:ascii="Times New Roman" w:hAnsi="Times New Roman" w:cs="Times New Roman"/>
          <w:b/>
          <w:color w:val="000000" w:themeColor="text1"/>
          <w:sz w:val="22"/>
        </w:rPr>
        <w:t>ABSTRACT</w:t>
      </w:r>
    </w:p>
    <w:p w14:paraId="5B5EEE45" w14:textId="77777777" w:rsidR="002E084E" w:rsidRPr="002E084E" w:rsidRDefault="002E084E" w:rsidP="002E084E">
      <w:pPr>
        <w:spacing w:after="120"/>
        <w:jc w:val="both"/>
        <w:rPr>
          <w:rFonts w:ascii="Times New Roman" w:hAnsi="Times New Roman" w:cs="Times New Roman"/>
          <w:color w:val="000000" w:themeColor="text1"/>
        </w:rPr>
      </w:pPr>
      <w:r w:rsidRPr="002E084E">
        <w:rPr>
          <w:rFonts w:ascii="Times New Roman" w:hAnsi="Times New Roman" w:cs="Times New Roman"/>
          <w:color w:val="000000" w:themeColor="text1"/>
          <w:sz w:val="20"/>
        </w:rPr>
        <w:lastRenderedPageBreak/>
        <w:t>The rapid expansion of information and communication technologies has transformed social interaction among children and adolescents, giving rise to new manifestations of violence such as digital violence and cyberbullying. In this scenario, the thesis of this paper is that the current penal and institutional framework in the Dominican Republic is outdated and insufficient to address digital violence among minors, creating procedural vacuums and impunity that violate the principle of the best interests of the child. Using a documentary and analytical legal research methodology, this study examines the normative gaps in Law No. 53-07 on High Technology Crimes and Misdemeanors, and in the system of socio-educational measures under Law No. 136-03, covering the period from 2022 to the present. Furthermore, relevant Dominican constitutional jurisprudence is analyzed, specifically rulings TC/0042/12 and TC/0468/24, and the limitations of prosecutors and institutions in the investigation and prosecution of these acts are evaluated. The results demonstrate the existence of significant legal vacuums due to the absence of specific juvenile criminal liability regulations for high-tech crimes and the lack of autonomous offenses in the Dominican Penal Code applicable to adolescents. Additionally, it was verified that the Constitutional Court addresses protection from a general or analog perspective, leaving undefined specific criteria for evaluating digital evidence, social media anonymity, or the continuous psychological impact of virtual harassment, which fosters scenarios of procedural impunity and lack of protection for minor victims. In conclusion, it is determined that Dominican legislation requires priority structural reforms: the autonomous criminalization of cyberbullying and the non-consensual dissemination of images in the Penal Code, and the updating of Law No. 136-03 to incorporate specialized socio-educational measures in digital environments and school cybersecurity protocols, balancing digital education and restorative justice over purely punitive responses.</w:t>
      </w:r>
    </w:p>
    <w:p w14:paraId="5AE58A2C" w14:textId="77777777" w:rsidR="002E084E" w:rsidRDefault="002E084E" w:rsidP="002E084E">
      <w:pPr>
        <w:spacing w:after="480"/>
        <w:rPr>
          <w:rFonts w:ascii="Times New Roman" w:hAnsi="Times New Roman" w:cs="Times New Roman"/>
          <w:color w:val="000000" w:themeColor="text1"/>
        </w:rPr>
      </w:pPr>
      <w:r w:rsidRPr="002E084E">
        <w:rPr>
          <w:rFonts w:ascii="Times New Roman" w:hAnsi="Times New Roman" w:cs="Times New Roman"/>
          <w:b/>
          <w:color w:val="000000" w:themeColor="text1"/>
          <w:sz w:val="20"/>
        </w:rPr>
        <w:t xml:space="preserve">Key Words: </w:t>
      </w:r>
      <w:r w:rsidRPr="002E084E">
        <w:rPr>
          <w:rFonts w:ascii="Times New Roman" w:hAnsi="Times New Roman" w:cs="Times New Roman"/>
          <w:color w:val="000000" w:themeColor="text1"/>
          <w:sz w:val="20"/>
        </w:rPr>
        <w:t>DIGITAL VIOLENCE - CYBERBULLYING - ADOLESCENT CRIMINAL LIABILITY - LEGAL VACUUMS - BEST INTERESTS OF THE CHILD</w:t>
      </w:r>
    </w:p>
    <w:p w14:paraId="4BBE0423" w14:textId="09E96C1F" w:rsidR="002E084E" w:rsidRPr="002E084E" w:rsidRDefault="002E084E" w:rsidP="002E084E">
      <w:pPr>
        <w:spacing w:after="480"/>
        <w:rPr>
          <w:rFonts w:ascii="Times New Roman" w:hAnsi="Times New Roman" w:cs="Times New Roman"/>
          <w:color w:val="000000" w:themeColor="text1"/>
        </w:rPr>
      </w:pPr>
      <w:r w:rsidRPr="002E084E">
        <w:rPr>
          <w:rFonts w:ascii="Times New Roman" w:hAnsi="Times New Roman" w:cs="Times New Roman"/>
          <w:i/>
          <w:color w:val="000000" w:themeColor="text1"/>
          <w:sz w:val="17"/>
        </w:rPr>
        <w:t xml:space="preserve">Estudiante de la Licenciatura en Derecho, Facultad de Ciencias Sociales, Humanidades y Artes, Pontificia Universidad Católica Madre y Maestra (PUCMM), Campus de Santo Domingo, República Dominicana. Matrícula: 10165264. Asesora metodológica: Ana Magnolia Méndez. Correo electrónico: </w:t>
      </w:r>
      <w:r>
        <w:rPr>
          <w:rFonts w:ascii="Times New Roman" w:hAnsi="Times New Roman" w:cs="Times New Roman"/>
          <w:i/>
          <w:color w:val="000000" w:themeColor="text1"/>
          <w:sz w:val="17"/>
        </w:rPr>
        <w:t>MMRM0002</w:t>
      </w:r>
      <w:r w:rsidRPr="002E084E">
        <w:rPr>
          <w:rFonts w:ascii="Times New Roman" w:hAnsi="Times New Roman" w:cs="Times New Roman"/>
          <w:i/>
          <w:color w:val="000000" w:themeColor="text1"/>
          <w:sz w:val="17"/>
        </w:rPr>
        <w:t>@ce.pucmm.edu.do</w:t>
      </w:r>
    </w:p>
    <w:p w14:paraId="5B41A313" w14:textId="77777777" w:rsidR="00EF22BE" w:rsidRDefault="00EF22BE">
      <w:pPr>
        <w:rPr>
          <w:rFonts w:ascii="Times New Roman" w:hAnsi="Times New Roman" w:cs="Times New Roman"/>
          <w:color w:val="000000" w:themeColor="text1"/>
        </w:rPr>
      </w:pPr>
      <w:r>
        <w:rPr>
          <w:rFonts w:ascii="Times New Roman" w:hAnsi="Times New Roman" w:cs="Times New Roman"/>
          <w:color w:val="000000" w:themeColor="text1"/>
        </w:rPr>
        <w:br w:type="page"/>
      </w:r>
    </w:p>
    <w:p w14:paraId="3FDBD103" w14:textId="4BAA31B4" w:rsidR="003647ED" w:rsidRPr="007122CA" w:rsidRDefault="003647ED" w:rsidP="007122CA">
      <w:pPr>
        <w:spacing w:after="0" w:line="360" w:lineRule="auto"/>
        <w:rPr>
          <w:rFonts w:ascii="Times New Roman" w:eastAsia="Times New Roman" w:hAnsi="Times New Roman" w:cs="Times New Roman"/>
          <w:color w:val="000000"/>
          <w:kern w:val="0"/>
        </w:rPr>
      </w:pPr>
      <w:r w:rsidRPr="002E084E">
        <w:rPr>
          <w:rFonts w:ascii="Times New Roman" w:hAnsi="Times New Roman" w:cs="Times New Roman"/>
          <w:color w:val="000000" w:themeColor="text1"/>
        </w:rPr>
        <w:lastRenderedPageBreak/>
        <w:t>L</w:t>
      </w:r>
      <w:r w:rsidRPr="007122CA">
        <w:rPr>
          <w:rFonts w:ascii="Times New Roman" w:hAnsi="Times New Roman" w:cs="Times New Roman"/>
          <w:color w:val="000000"/>
        </w:rPr>
        <w:t>a expansión de las tecnologías de la la información y la comunicación ha transformado significativamente las formas de interacción social, particularmente entre niños, niñas y adolescentes, quienes constituyen uno de los sectores con mayor participación en los entornos digitales. No obstante, el desarrollo tecnológico también ha propiciado la aparición de nuevas manifestaciones de violencia, entre las cuales destacan la violencia digital y el ciberacoso. Estas conductas representan una problemática de creciente relevancia jurídica y social debido a las consecuencias psicológicas, emocionales y sociales que generan en las víctimas, así como a los desafíos que plantean para los sistemas normativos y de administración de justicia.</w:t>
      </w:r>
    </w:p>
    <w:p w14:paraId="6EEE46BD" w14:textId="77777777" w:rsidR="003647ED" w:rsidRPr="007122CA" w:rsidRDefault="003647ED" w:rsidP="007122CA">
      <w:pPr>
        <w:pStyle w:val="NormalWeb"/>
        <w:spacing w:line="360" w:lineRule="auto"/>
        <w:rPr>
          <w:color w:val="000000"/>
        </w:rPr>
      </w:pPr>
      <w:r w:rsidRPr="007122CA">
        <w:rPr>
          <w:color w:val="000000"/>
        </w:rPr>
        <w:t>En la República Dominicana, el aumento de situaciones relacionadas con la violencia digital entre menores de edad ha puesto de manifiesto la existencia de limitaciones y vacíos normativos dentro del ordenamiento jurídico vigente. A pesar de la promulgación de instrumentos legales orientados a la regulación de los delitos tecnológicos y a la protección integral de la niñez y la adolescencia, persisten dificultades jurídicas cuando las conductas de ciberacoso son cometidas por menores de edad en perjuicio de otros menores. Esta situación evidencia la necesidad de examinar la suficiencia y efectividad del marco legal actual, así como la capacidad de las instituciones responsables para garantizar la protección de los derechos fundamentales de los menores involucrados.</w:t>
      </w:r>
    </w:p>
    <w:p w14:paraId="461CBB05" w14:textId="41886EF9" w:rsidR="009548DE" w:rsidRPr="007122CA" w:rsidRDefault="0006656E" w:rsidP="007122CA">
      <w:pPr>
        <w:pStyle w:val="NormalWeb"/>
        <w:spacing w:line="360" w:lineRule="auto"/>
        <w:rPr>
          <w:color w:val="000000"/>
        </w:rPr>
      </w:pPr>
      <w:r>
        <w:t xml:space="preserve">El presente ensayo tiene como finalidad analizar las limitaciones jurídicas existentes en el Código Penal dominicano frente a los casos de violencia digital y ciberacoso cometidos por menores de edad en la República Dominicana desde el año 2022 hasta la </w:t>
      </w:r>
      <w:r w:rsidRPr="0006656E">
        <w:t>actualidad. A este respecto, se sostiene como tesis que el marco normativo penal e institucional vigente resulta insuficientemente normado y desactualizado para responder a la naturaleza de la violencia digital en menores, generando lagunas procesales e impunidad que vulneran el principio del interés superior del niño. Para ello, se identificarán las principales lagunas normativas de la Ley No. 53-07 sobre Crímenes y Delitos de Alta Tecnología y el sistema de me</w:t>
      </w:r>
      <w:r>
        <w:t>didas socioeducativas contemplado en la Ley No. 136-03, evaluando las limitaciones institucionales en la investigación y persecución de estos hechos para fundamentar la necesidad de reformas legales orientadas a una protección integral.</w:t>
      </w:r>
    </w:p>
    <w:p w14:paraId="573F7A1E" w14:textId="77777777" w:rsidR="008806E0" w:rsidRPr="007122CA" w:rsidRDefault="008806E0" w:rsidP="007122CA">
      <w:pPr>
        <w:autoSpaceDE w:val="0"/>
        <w:autoSpaceDN w:val="0"/>
        <w:adjustRightInd w:val="0"/>
        <w:spacing w:after="0" w:line="360" w:lineRule="auto"/>
        <w:rPr>
          <w:rFonts w:ascii="Times New Roman" w:hAnsi="Times New Roman" w:cs="Times New Roman"/>
          <w:color w:val="000000" w:themeColor="text1"/>
          <w:kern w:val="0"/>
          <w:lang w:val="es-DO"/>
        </w:rPr>
      </w:pPr>
      <w:r w:rsidRPr="007122CA">
        <w:rPr>
          <w:rFonts w:ascii="Times New Roman" w:hAnsi="Times New Roman" w:cs="Times New Roman"/>
          <w:color w:val="000000" w:themeColor="text1"/>
          <w:kern w:val="0"/>
          <w:lang w:val="es-DO"/>
        </w:rPr>
        <w:lastRenderedPageBreak/>
        <w:t xml:space="preserve">Uno de los principales problemas jurídicos </w:t>
      </w:r>
      <w:r w:rsidR="00C05D26" w:rsidRPr="007122CA">
        <w:rPr>
          <w:rFonts w:ascii="Times New Roman" w:hAnsi="Times New Roman" w:cs="Times New Roman"/>
          <w:color w:val="000000" w:themeColor="text1"/>
          <w:kern w:val="0"/>
          <w:lang w:val="es-DO"/>
        </w:rPr>
        <w:t xml:space="preserve">que </w:t>
      </w:r>
      <w:r w:rsidRPr="007122CA">
        <w:rPr>
          <w:rFonts w:ascii="Times New Roman" w:hAnsi="Times New Roman" w:cs="Times New Roman"/>
          <w:color w:val="000000" w:themeColor="text1"/>
          <w:kern w:val="0"/>
          <w:lang w:val="es-DO"/>
        </w:rPr>
        <w:t>existen</w:t>
      </w:r>
      <w:r w:rsidR="00C05D26" w:rsidRPr="007122CA">
        <w:rPr>
          <w:rFonts w:ascii="Times New Roman" w:hAnsi="Times New Roman" w:cs="Times New Roman"/>
          <w:color w:val="000000" w:themeColor="text1"/>
          <w:kern w:val="0"/>
          <w:lang w:val="es-DO"/>
        </w:rPr>
        <w:t>,</w:t>
      </w:r>
      <w:r w:rsidRPr="007122CA">
        <w:rPr>
          <w:rFonts w:ascii="Times New Roman" w:hAnsi="Times New Roman" w:cs="Times New Roman"/>
          <w:color w:val="000000" w:themeColor="text1"/>
          <w:kern w:val="0"/>
          <w:lang w:val="es-DO"/>
        </w:rPr>
        <w:t xml:space="preserve"> radica en la ausencia de una regulación específica del ciberacoso y la violencia digital cometidos por menores de edad dentro del ordenamiento penal dominicano. Esta situación </w:t>
      </w:r>
      <w:r w:rsidR="00C05D26" w:rsidRPr="007122CA">
        <w:rPr>
          <w:rFonts w:ascii="Times New Roman" w:hAnsi="Times New Roman" w:cs="Times New Roman"/>
          <w:color w:val="000000" w:themeColor="text1"/>
          <w:kern w:val="0"/>
          <w:lang w:val="es-DO"/>
        </w:rPr>
        <w:t>supone</w:t>
      </w:r>
      <w:r w:rsidRPr="007122CA">
        <w:rPr>
          <w:rFonts w:ascii="Times New Roman" w:hAnsi="Times New Roman" w:cs="Times New Roman"/>
          <w:color w:val="000000" w:themeColor="text1"/>
          <w:kern w:val="0"/>
          <w:lang w:val="es-DO"/>
        </w:rPr>
        <w:t xml:space="preserve"> que numerosas conductas realizadas mediante </w:t>
      </w:r>
      <w:r w:rsidR="00C05D26" w:rsidRPr="007122CA">
        <w:rPr>
          <w:rFonts w:ascii="Times New Roman" w:hAnsi="Times New Roman" w:cs="Times New Roman"/>
          <w:color w:val="000000" w:themeColor="text1"/>
          <w:kern w:val="0"/>
          <w:lang w:val="es-DO"/>
        </w:rPr>
        <w:t xml:space="preserve">las redes sociales o </w:t>
      </w:r>
      <w:r w:rsidRPr="007122CA">
        <w:rPr>
          <w:rFonts w:ascii="Times New Roman" w:hAnsi="Times New Roman" w:cs="Times New Roman"/>
          <w:color w:val="000000" w:themeColor="text1"/>
          <w:kern w:val="0"/>
          <w:lang w:val="es-DO"/>
        </w:rPr>
        <w:t xml:space="preserve">plataformas digitales carecen de una respuesta jurídica adecuada cuando el sujeto es un adolescente. Fernando Miró Llinares sostiene que la criminalidad desarrollada en entornos virtuales presenta características propias que exigen respuestas normativas </w:t>
      </w:r>
      <w:r w:rsidR="00C05D26" w:rsidRPr="007122CA">
        <w:rPr>
          <w:rFonts w:ascii="Times New Roman" w:hAnsi="Times New Roman" w:cs="Times New Roman"/>
          <w:color w:val="000000" w:themeColor="text1"/>
          <w:kern w:val="0"/>
          <w:lang w:val="es-DO"/>
        </w:rPr>
        <w:t>especializadas al caso</w:t>
      </w:r>
      <w:r w:rsidRPr="007122CA">
        <w:rPr>
          <w:rFonts w:ascii="Times New Roman" w:hAnsi="Times New Roman" w:cs="Times New Roman"/>
          <w:color w:val="000000" w:themeColor="text1"/>
          <w:kern w:val="0"/>
          <w:lang w:val="es-DO"/>
        </w:rPr>
        <w:t xml:space="preserve">, debido a la capacidad </w:t>
      </w:r>
      <w:r w:rsidR="00C05D26" w:rsidRPr="007122CA">
        <w:rPr>
          <w:rFonts w:ascii="Times New Roman" w:hAnsi="Times New Roman" w:cs="Times New Roman"/>
          <w:color w:val="000000" w:themeColor="text1"/>
          <w:kern w:val="0"/>
          <w:lang w:val="es-DO"/>
        </w:rPr>
        <w:t xml:space="preserve">extensa </w:t>
      </w:r>
      <w:r w:rsidRPr="007122CA">
        <w:rPr>
          <w:rFonts w:ascii="Times New Roman" w:hAnsi="Times New Roman" w:cs="Times New Roman"/>
          <w:color w:val="000000" w:themeColor="text1"/>
          <w:kern w:val="0"/>
          <w:lang w:val="es-DO"/>
        </w:rPr>
        <w:t>y permanente del daño producido en internet.</w:t>
      </w:r>
      <w:r w:rsidR="00FD2E6E" w:rsidRPr="007122CA">
        <w:rPr>
          <w:rStyle w:val="FootnoteReference"/>
          <w:rFonts w:ascii="Times New Roman" w:hAnsi="Times New Roman" w:cs="Times New Roman"/>
          <w:color w:val="000000" w:themeColor="text1"/>
          <w:kern w:val="0"/>
          <w:lang w:val="es-DO"/>
        </w:rPr>
        <w:footnoteReference w:id="1"/>
      </w:r>
      <w:r w:rsidRPr="007122CA">
        <w:rPr>
          <w:rFonts w:ascii="Times New Roman" w:hAnsi="Times New Roman" w:cs="Times New Roman"/>
          <w:color w:val="000000" w:themeColor="text1"/>
          <w:kern w:val="0"/>
          <w:lang w:val="es-DO"/>
        </w:rPr>
        <w:t xml:space="preserve"> De igual forma, Concepción Rodríguez González del Real señala que el ciberacoso constituye una forma de violencia compleja cuya persecución jurídica requiere instrumentos normativos especializados y adaptados a las dinámicas digitales.</w:t>
      </w:r>
      <w:r w:rsidR="00FD2E6E" w:rsidRPr="007122CA">
        <w:rPr>
          <w:rStyle w:val="FootnoteReference"/>
          <w:rFonts w:ascii="Times New Roman" w:hAnsi="Times New Roman" w:cs="Times New Roman"/>
          <w:color w:val="000000" w:themeColor="text1"/>
          <w:kern w:val="0"/>
          <w:lang w:val="es-DO"/>
        </w:rPr>
        <w:footnoteReference w:id="2"/>
      </w:r>
      <w:r w:rsidRPr="007122CA">
        <w:rPr>
          <w:rFonts w:ascii="Times New Roman" w:hAnsi="Times New Roman" w:cs="Times New Roman"/>
          <w:color w:val="000000" w:themeColor="text1"/>
          <w:kern w:val="0"/>
          <w:lang w:val="es-DO"/>
        </w:rPr>
        <w:t xml:space="preserve"> Como evidencia de esta problemática, la Ley núm. 53-07 sobre Crímenes y Delitos de Alta Tecnología no establece disposiciones específicas sobre responsabilidad penal juvenil en materia de violencia digital, mientras que el Código Penal dominicano tampoco contempla figuras autónomas aplicables a estas conductas. En consecuencia, resulta razonable sostener que existe un vacío normativo que limita significativamente la capacidad del Estado para proteger efectivamente a los menores víctimas de violencia digital.</w:t>
      </w:r>
    </w:p>
    <w:p w14:paraId="393CBFCB" w14:textId="77777777" w:rsidR="009548DE" w:rsidRPr="007122CA" w:rsidRDefault="009548DE" w:rsidP="007122CA">
      <w:pPr>
        <w:autoSpaceDE w:val="0"/>
        <w:autoSpaceDN w:val="0"/>
        <w:adjustRightInd w:val="0"/>
        <w:spacing w:after="0" w:line="360" w:lineRule="auto"/>
        <w:rPr>
          <w:rFonts w:ascii="Times New Roman" w:hAnsi="Times New Roman" w:cs="Times New Roman"/>
          <w:color w:val="000000" w:themeColor="text1"/>
          <w:kern w:val="0"/>
          <w:lang w:val="es-DO"/>
        </w:rPr>
      </w:pPr>
    </w:p>
    <w:p w14:paraId="6A96A1FD" w14:textId="343E3C89" w:rsidR="009548DE" w:rsidRPr="007122CA" w:rsidRDefault="008806E0" w:rsidP="007122CA">
      <w:pPr>
        <w:autoSpaceDE w:val="0"/>
        <w:autoSpaceDN w:val="0"/>
        <w:adjustRightInd w:val="0"/>
        <w:spacing w:after="0" w:line="360" w:lineRule="auto"/>
        <w:rPr>
          <w:rFonts w:ascii="Times New Roman" w:hAnsi="Times New Roman" w:cs="Times New Roman"/>
          <w:color w:val="000000" w:themeColor="text1"/>
          <w:kern w:val="0"/>
          <w:lang w:val="es-DO"/>
        </w:rPr>
      </w:pPr>
      <w:r w:rsidRPr="007122CA">
        <w:rPr>
          <w:rFonts w:ascii="Times New Roman" w:hAnsi="Times New Roman" w:cs="Times New Roman"/>
          <w:color w:val="000000" w:themeColor="text1"/>
          <w:kern w:val="0"/>
          <w:lang w:val="es-DO"/>
        </w:rPr>
        <w:t xml:space="preserve">Asimismo, se advierte que el sistema de responsabilidad penal adolescente previsto en la Ley núm. 136-03 presenta limitaciones para abordar adecuadamente las nuevas modalidades de violencia ejercidas mediante tecnologías digitales. </w:t>
      </w:r>
      <w:r w:rsidR="004D7ED7" w:rsidRPr="007122CA">
        <w:rPr>
          <w:rFonts w:ascii="Times New Roman" w:hAnsi="Times New Roman" w:cs="Times New Roman"/>
          <w:color w:val="000000" w:themeColor="text1"/>
          <w:kern w:val="0"/>
          <w:lang w:val="es-DO"/>
        </w:rPr>
        <w:t xml:space="preserve">El </w:t>
      </w:r>
      <w:r w:rsidRPr="007122CA">
        <w:rPr>
          <w:rFonts w:ascii="Times New Roman" w:hAnsi="Times New Roman" w:cs="Times New Roman"/>
          <w:color w:val="000000" w:themeColor="text1"/>
          <w:kern w:val="0"/>
          <w:lang w:val="es-DO"/>
        </w:rPr>
        <w:t>sistema penal juvenil dominicano fue diseñado bajo criterios tradicionales de criminalidad, sin prever las particularidades derivadas de los delitos cometidos en entornos virtuales. Por su parte, Jeferson Israel Sisa Romero argumenta que la ausencia de protocolos especializados para el tratamiento del ciberacoso juvenil genera importantes dificultades procesales y probatorias que favorecen escenarios de impunidad.</w:t>
      </w:r>
      <w:r w:rsidR="009B7B83" w:rsidRPr="007122CA">
        <w:rPr>
          <w:rStyle w:val="FootnoteReference"/>
          <w:rFonts w:ascii="Times New Roman" w:hAnsi="Times New Roman" w:cs="Times New Roman"/>
          <w:color w:val="000000" w:themeColor="text1"/>
          <w:kern w:val="0"/>
          <w:lang w:val="es-DO"/>
        </w:rPr>
        <w:footnoteReference w:id="3"/>
      </w:r>
      <w:r w:rsidRPr="007122CA">
        <w:rPr>
          <w:rFonts w:ascii="Times New Roman" w:hAnsi="Times New Roman" w:cs="Times New Roman"/>
          <w:color w:val="000000" w:themeColor="text1"/>
          <w:kern w:val="0"/>
          <w:lang w:val="es-DO"/>
        </w:rPr>
        <w:t xml:space="preserve"> La </w:t>
      </w:r>
      <w:r w:rsidRPr="007122CA">
        <w:rPr>
          <w:rFonts w:ascii="Times New Roman" w:hAnsi="Times New Roman" w:cs="Times New Roman"/>
          <w:color w:val="000000" w:themeColor="text1"/>
          <w:kern w:val="0"/>
          <w:lang w:val="es-DO"/>
        </w:rPr>
        <w:lastRenderedPageBreak/>
        <w:t xml:space="preserve">jurisprudencia constitucional dominicana ha reconocido reiteradamente la necesidad de garantizar la protección integral de los derechos fundamentales de niños, niñas y adolescentes, </w:t>
      </w:r>
      <w:r w:rsidRPr="0006656E">
        <w:rPr>
          <w:rFonts w:ascii="Times New Roman" w:hAnsi="Times New Roman" w:cs="Times New Roman"/>
          <w:color w:val="000000" w:themeColor="text1"/>
          <w:kern w:val="0"/>
          <w:lang w:val="es-DO"/>
        </w:rPr>
        <w:t>como se desprende de las sentencias TC/0042/12</w:t>
      </w:r>
      <w:r w:rsidR="004D7ED7" w:rsidRPr="0006656E">
        <w:rPr>
          <w:rStyle w:val="FootnoteReference"/>
          <w:rFonts w:ascii="Times New Roman" w:hAnsi="Times New Roman" w:cs="Times New Roman"/>
          <w:color w:val="000000" w:themeColor="text1"/>
          <w:kern w:val="0"/>
          <w:lang w:val="es-DO"/>
        </w:rPr>
        <w:footnoteReference w:id="4"/>
      </w:r>
      <w:r w:rsidRPr="0006656E">
        <w:rPr>
          <w:rFonts w:ascii="Times New Roman" w:hAnsi="Times New Roman" w:cs="Times New Roman"/>
          <w:color w:val="000000" w:themeColor="text1"/>
          <w:kern w:val="0"/>
          <w:lang w:val="es-DO"/>
        </w:rPr>
        <w:t xml:space="preserve"> y TC/0468/24</w:t>
      </w:r>
      <w:r w:rsidR="004D7ED7" w:rsidRPr="0006656E">
        <w:rPr>
          <w:rStyle w:val="FootnoteReference"/>
          <w:rFonts w:ascii="Times New Roman" w:hAnsi="Times New Roman" w:cs="Times New Roman"/>
          <w:color w:val="000000" w:themeColor="text1"/>
          <w:kern w:val="0"/>
          <w:lang w:val="es-DO"/>
        </w:rPr>
        <w:footnoteReference w:id="5"/>
      </w:r>
      <w:r w:rsidRPr="0006656E">
        <w:rPr>
          <w:rFonts w:ascii="Times New Roman" w:hAnsi="Times New Roman" w:cs="Times New Roman"/>
          <w:color w:val="000000" w:themeColor="text1"/>
          <w:kern w:val="0"/>
          <w:lang w:val="es-DO"/>
        </w:rPr>
        <w:t xml:space="preserve"> del Tribunal Constitucional. </w:t>
      </w:r>
      <w:r w:rsidR="0006656E" w:rsidRPr="0006656E">
        <w:rPr>
          <w:rFonts w:ascii="Times New Roman" w:hAnsi="Times New Roman" w:cs="Times New Roman"/>
        </w:rPr>
        <w:t>Si bien dichas sentencias sientan el precedente dogmático sobre el deber del Estado de salvaguardar la dignidad e intimidad de la niñez, su aplicación al ciberacoso entre menores evidencia una brecha conceptual: el Tribunal aborda la protección desde una perspectiva analógica o general, dejando sin definir criterios específicos para la valoración de pruebas digitales, el anonimato en redes sociales o el impacto psicológico continuado que caracteriza al acoso virtual. Sin mecanismos procesales e institucionales específicos para investigar y sancionar conductas de violencia digital entre menores, la efectividad de dichas garantías constitucionales se ve seriamente limitada.</w:t>
      </w:r>
    </w:p>
    <w:p w14:paraId="2FD15F8C" w14:textId="77777777" w:rsidR="003647ED" w:rsidRPr="007122CA" w:rsidRDefault="003647ED" w:rsidP="007122CA">
      <w:pPr>
        <w:autoSpaceDE w:val="0"/>
        <w:autoSpaceDN w:val="0"/>
        <w:adjustRightInd w:val="0"/>
        <w:spacing w:after="0" w:line="360" w:lineRule="auto"/>
        <w:rPr>
          <w:rFonts w:ascii="Times New Roman" w:hAnsi="Times New Roman" w:cs="Times New Roman"/>
          <w:color w:val="000000" w:themeColor="text1"/>
          <w:kern w:val="0"/>
          <w:lang w:val="es-DO"/>
        </w:rPr>
      </w:pPr>
    </w:p>
    <w:p w14:paraId="0E4B4246" w14:textId="77777777" w:rsidR="008806E0" w:rsidRPr="007122CA" w:rsidRDefault="008806E0" w:rsidP="007122CA">
      <w:pPr>
        <w:autoSpaceDE w:val="0"/>
        <w:autoSpaceDN w:val="0"/>
        <w:adjustRightInd w:val="0"/>
        <w:spacing w:after="0" w:line="360" w:lineRule="auto"/>
        <w:rPr>
          <w:rFonts w:ascii="Times New Roman" w:hAnsi="Times New Roman" w:cs="Times New Roman"/>
          <w:color w:val="000000" w:themeColor="text1"/>
          <w:kern w:val="0"/>
          <w:lang w:val="es-DO"/>
        </w:rPr>
      </w:pPr>
      <w:r w:rsidRPr="007122CA">
        <w:rPr>
          <w:rFonts w:ascii="Times New Roman" w:hAnsi="Times New Roman" w:cs="Times New Roman"/>
          <w:color w:val="000000" w:themeColor="text1"/>
          <w:kern w:val="0"/>
          <w:lang w:val="es-DO"/>
        </w:rPr>
        <w:t>Por otra parte, las consecuencias jurídicas y sociales derivadas de la impunidad procesal afectan directamente la protección integral de las víctimas menores de edad. Maite Garaigordobil sostiene que el ciberacoso produce efectos psicológicos más prolongados y severos que otras formas tradicionales de violencia escolar debido a la permanencia, viralidad y anonimato que caracterizan a los medios digitales.</w:t>
      </w:r>
      <w:r w:rsidR="00F828B5" w:rsidRPr="007122CA">
        <w:rPr>
          <w:rStyle w:val="FootnoteReference"/>
          <w:rFonts w:ascii="Times New Roman" w:hAnsi="Times New Roman" w:cs="Times New Roman"/>
          <w:color w:val="000000" w:themeColor="text1"/>
          <w:kern w:val="0"/>
          <w:lang w:val="es-DO"/>
        </w:rPr>
        <w:footnoteReference w:id="6"/>
      </w:r>
      <w:r w:rsidRPr="007122CA">
        <w:rPr>
          <w:rFonts w:ascii="Times New Roman" w:hAnsi="Times New Roman" w:cs="Times New Roman"/>
          <w:color w:val="000000" w:themeColor="text1"/>
          <w:kern w:val="0"/>
          <w:lang w:val="es-DO"/>
        </w:rPr>
        <w:t xml:space="preserve"> Asimismo, la falta de respuestas institucionales oportunas incrementa el impacto emocional y social sufrido por las víctimas, favoreciendo procesos de revictimización.</w:t>
      </w:r>
      <w:r w:rsidR="00F828B5" w:rsidRPr="007122CA">
        <w:rPr>
          <w:rFonts w:ascii="Times New Roman" w:hAnsi="Times New Roman" w:cs="Times New Roman"/>
          <w:color w:val="000000" w:themeColor="text1"/>
          <w:kern w:val="0"/>
          <w:lang w:val="es-DO"/>
        </w:rPr>
        <w:t xml:space="preserve"> </w:t>
      </w:r>
      <w:r w:rsidRPr="007122CA">
        <w:rPr>
          <w:rFonts w:ascii="Times New Roman" w:hAnsi="Times New Roman" w:cs="Times New Roman"/>
          <w:color w:val="000000" w:themeColor="text1"/>
          <w:kern w:val="0"/>
          <w:lang w:val="es-DO"/>
        </w:rPr>
        <w:t xml:space="preserve">La doctrina contemporánea sobre derechos fundamentales de la infancia, </w:t>
      </w:r>
      <w:r w:rsidRPr="007122CA">
        <w:rPr>
          <w:rFonts w:ascii="Times New Roman" w:hAnsi="Times New Roman" w:cs="Times New Roman"/>
          <w:color w:val="000000" w:themeColor="text1"/>
          <w:kern w:val="0"/>
          <w:lang w:val="es-DO"/>
        </w:rPr>
        <w:lastRenderedPageBreak/>
        <w:t>respaldada por organismos internacionales y por la interpretación constitucional dominicana, reconoce la obligación estatal de garantizar mecanismos efectivos de prevención, protección y reparación. No obstante, la ausencia de sanciones específicas y de procedimientos especializados dificulta el acceso a la justicia de los menores afectados. En consecuencia, se considera que las limitaciones normativas actuales contribuyen a perpetuar escenarios de desprotección e impunidad incompatibles con el principio del interés superior del niño.</w:t>
      </w:r>
    </w:p>
    <w:p w14:paraId="783A24AF" w14:textId="77777777" w:rsidR="008806E0" w:rsidRPr="007122CA" w:rsidRDefault="008806E0" w:rsidP="007122CA">
      <w:pPr>
        <w:autoSpaceDE w:val="0"/>
        <w:autoSpaceDN w:val="0"/>
        <w:adjustRightInd w:val="0"/>
        <w:spacing w:after="40" w:line="360" w:lineRule="auto"/>
        <w:rPr>
          <w:rFonts w:ascii="Times New Roman" w:hAnsi="Times New Roman" w:cs="Times New Roman"/>
          <w:b/>
          <w:bCs/>
          <w:color w:val="000000" w:themeColor="text1"/>
          <w:kern w:val="0"/>
          <w:lang w:val="es-DO"/>
        </w:rPr>
      </w:pPr>
    </w:p>
    <w:p w14:paraId="699E42AF" w14:textId="0AD59A1F" w:rsidR="009548DE" w:rsidRPr="0006656E" w:rsidRDefault="008806E0" w:rsidP="007122CA">
      <w:pPr>
        <w:autoSpaceDE w:val="0"/>
        <w:autoSpaceDN w:val="0"/>
        <w:adjustRightInd w:val="0"/>
        <w:spacing w:after="0" w:line="360" w:lineRule="auto"/>
        <w:rPr>
          <w:rFonts w:ascii="Times New Roman" w:hAnsi="Times New Roman" w:cs="Times New Roman"/>
          <w:color w:val="000000" w:themeColor="text1"/>
          <w:kern w:val="0"/>
          <w:lang w:val="es-DO"/>
        </w:rPr>
      </w:pPr>
      <w:r w:rsidRPr="007122CA">
        <w:rPr>
          <w:rFonts w:ascii="Times New Roman" w:hAnsi="Times New Roman" w:cs="Times New Roman"/>
          <w:color w:val="000000" w:themeColor="text1"/>
          <w:kern w:val="0"/>
          <w:lang w:val="es-DO"/>
        </w:rPr>
        <w:t>Del análisis realizado se desprende que el principal problema no radica exclusivamente en la ausencia de sanciones penales específicas, sino en la falta de adecuación integral del sistema jurídico dominicano a las nuevas formas de violencia desarrolladas en entornos digitales. Resulta jurídicamente insuficiente aplicar mecanismos normativos concebidos para formas tradicionales de criminalidad a conductas cuya naturaleza tecnológica genera daños permanentes, masivos y de difícil reparación.</w:t>
      </w:r>
      <w:r w:rsidR="00F828B5" w:rsidRPr="007122CA">
        <w:rPr>
          <w:rFonts w:ascii="Times New Roman" w:hAnsi="Times New Roman" w:cs="Times New Roman"/>
          <w:color w:val="000000" w:themeColor="text1"/>
          <w:kern w:val="0"/>
          <w:lang w:val="es-DO"/>
        </w:rPr>
        <w:t>L</w:t>
      </w:r>
      <w:r w:rsidRPr="007122CA">
        <w:rPr>
          <w:rFonts w:ascii="Times New Roman" w:hAnsi="Times New Roman" w:cs="Times New Roman"/>
          <w:color w:val="000000" w:themeColor="text1"/>
          <w:kern w:val="0"/>
          <w:lang w:val="es-DO"/>
        </w:rPr>
        <w:t>a protección efectiva de los derechos fundamentales exige que el ordenamiento jurídico evolucione en función de las nuevas realidades sociales y tecnológicas.</w:t>
      </w:r>
      <w:r w:rsidR="00186C26" w:rsidRPr="007122CA">
        <w:rPr>
          <w:rFonts w:ascii="Times New Roman" w:hAnsi="Times New Roman" w:cs="Times New Roman"/>
          <w:color w:val="000000" w:themeColor="text1"/>
          <w:kern w:val="0"/>
          <w:lang w:val="es-DO"/>
        </w:rPr>
        <w:t xml:space="preserve"> </w:t>
      </w:r>
      <w:r w:rsidRPr="007122CA">
        <w:rPr>
          <w:rFonts w:ascii="Times New Roman" w:hAnsi="Times New Roman" w:cs="Times New Roman"/>
          <w:color w:val="000000" w:themeColor="text1"/>
          <w:kern w:val="0"/>
          <w:lang w:val="es-DO"/>
        </w:rPr>
        <w:t>En consecuencia</w:t>
      </w:r>
      <w:r w:rsidRPr="0006656E">
        <w:rPr>
          <w:rFonts w:ascii="Times New Roman" w:hAnsi="Times New Roman" w:cs="Times New Roman"/>
          <w:color w:val="000000" w:themeColor="text1"/>
          <w:kern w:val="0"/>
          <w:lang w:val="es-DO"/>
        </w:rPr>
        <w:t>,</w:t>
      </w:r>
      <w:r w:rsidR="0006656E">
        <w:rPr>
          <w:rFonts w:ascii="Times New Roman" w:hAnsi="Times New Roman" w:cs="Times New Roman"/>
          <w:color w:val="000000" w:themeColor="text1"/>
          <w:kern w:val="0"/>
          <w:lang w:val="es-DO"/>
        </w:rPr>
        <w:t xml:space="preserve"> </w:t>
      </w:r>
      <w:r w:rsidR="0006656E" w:rsidRPr="0006656E">
        <w:rPr>
          <w:rFonts w:ascii="Times New Roman" w:hAnsi="Times New Roman" w:cs="Times New Roman"/>
        </w:rPr>
        <w:t>resulta razonable sostener que la legislación dominicana requiere reformas sustanciales. En particular, se consideran prioritarias dos modificaciones estructurales: en primer lugar, la tipificación autónoma del ciberacoso y la difusión no consentida de imágenes en el Código Penal, delimitando claramente las conductas para evitar lagunas de punibilidad; y en segundo lugar, la actualización de la Ley No. 136-03 para incorporar medidas socioeducativas especializadas en entornos digitales y protocolos de ciberseguridad escolar. Estas reformas tendrían un impacto determinante, pues no solo dotarían a los fiscales de herramientas tipificadas para actuar, sino que priorizarían la educación digital y la justicia restaurativa antes que la sola respuesta punitiva.</w:t>
      </w:r>
    </w:p>
    <w:p w14:paraId="7771302D" w14:textId="77777777" w:rsidR="009548DE" w:rsidRPr="007122CA" w:rsidRDefault="009548DE" w:rsidP="007122CA">
      <w:pPr>
        <w:autoSpaceDE w:val="0"/>
        <w:autoSpaceDN w:val="0"/>
        <w:adjustRightInd w:val="0"/>
        <w:spacing w:after="0" w:line="360" w:lineRule="auto"/>
        <w:rPr>
          <w:rFonts w:ascii="Times New Roman" w:hAnsi="Times New Roman" w:cs="Times New Roman"/>
          <w:color w:val="000000" w:themeColor="text1"/>
          <w:kern w:val="0"/>
          <w:lang w:val="es-DO"/>
        </w:rPr>
      </w:pPr>
    </w:p>
    <w:p w14:paraId="4C52312C" w14:textId="36B915B9" w:rsidR="008806E0" w:rsidRPr="007122CA" w:rsidRDefault="009548DE" w:rsidP="007122CA">
      <w:pPr>
        <w:autoSpaceDE w:val="0"/>
        <w:autoSpaceDN w:val="0"/>
        <w:adjustRightInd w:val="0"/>
        <w:spacing w:after="0" w:line="360" w:lineRule="auto"/>
        <w:rPr>
          <w:rFonts w:ascii="Times New Roman" w:hAnsi="Times New Roman" w:cs="Times New Roman"/>
          <w:color w:val="000000" w:themeColor="text1"/>
          <w:kern w:val="0"/>
          <w:lang w:val="es-DO"/>
        </w:rPr>
      </w:pPr>
      <w:r w:rsidRPr="007122CA">
        <w:rPr>
          <w:rFonts w:ascii="Times New Roman" w:hAnsi="Times New Roman" w:cs="Times New Roman"/>
          <w:color w:val="000000" w:themeColor="text1"/>
          <w:kern w:val="0"/>
          <w:lang w:val="es-DO"/>
        </w:rPr>
        <w:t>De igual manera</w:t>
      </w:r>
      <w:r w:rsidR="008806E0" w:rsidRPr="007122CA">
        <w:rPr>
          <w:rFonts w:ascii="Times New Roman" w:hAnsi="Times New Roman" w:cs="Times New Roman"/>
          <w:color w:val="000000" w:themeColor="text1"/>
          <w:kern w:val="0"/>
          <w:lang w:val="es-DO"/>
        </w:rPr>
        <w:t>, se considera que cualquier reforma legislativa debe respetar los principios rectores del sistema de justicia penal adolescente, evitando respuestas exclusivamente</w:t>
      </w:r>
      <w:r w:rsidR="00186C26" w:rsidRPr="007122CA">
        <w:rPr>
          <w:rFonts w:ascii="Times New Roman" w:hAnsi="Times New Roman" w:cs="Times New Roman"/>
          <w:color w:val="000000" w:themeColor="text1"/>
          <w:kern w:val="0"/>
          <w:lang w:val="es-DO"/>
        </w:rPr>
        <w:t xml:space="preserve"> en sanciones</w:t>
      </w:r>
      <w:r w:rsidR="008806E0" w:rsidRPr="007122CA">
        <w:rPr>
          <w:rFonts w:ascii="Times New Roman" w:hAnsi="Times New Roman" w:cs="Times New Roman"/>
          <w:color w:val="000000" w:themeColor="text1"/>
          <w:kern w:val="0"/>
          <w:lang w:val="es-DO"/>
        </w:rPr>
        <w:t>. La protección integral de niños, niñas y adolescentes exige desarrollar mecanismos especializados que permitan equilibrar la función educativa del sistema penal juvenil con la necesidad de garantizar reparación y protección efectiva a las víctimas. Las propuestas formuladas por FINJUS</w:t>
      </w:r>
      <w:r w:rsidR="00186C26" w:rsidRPr="007122CA">
        <w:rPr>
          <w:rFonts w:ascii="Times New Roman" w:hAnsi="Times New Roman" w:cs="Times New Roman"/>
          <w:color w:val="000000" w:themeColor="text1"/>
          <w:kern w:val="0"/>
          <w:lang w:val="es-DO"/>
        </w:rPr>
        <w:t xml:space="preserve"> (</w:t>
      </w:r>
      <w:r w:rsidR="00186C26" w:rsidRPr="007122CA">
        <w:rPr>
          <w:rFonts w:ascii="Times New Roman" w:hAnsi="Times New Roman" w:cs="Times New Roman"/>
          <w:color w:val="000000" w:themeColor="text1"/>
          <w:shd w:val="clear" w:color="auto" w:fill="FFFFFF"/>
        </w:rPr>
        <w:t>Fundación Institucionalidad y Justicia)</w:t>
      </w:r>
      <w:r w:rsidR="008806E0" w:rsidRPr="007122CA">
        <w:rPr>
          <w:rFonts w:ascii="Times New Roman" w:hAnsi="Times New Roman" w:cs="Times New Roman"/>
          <w:color w:val="000000" w:themeColor="text1"/>
          <w:kern w:val="0"/>
          <w:lang w:val="es-DO"/>
        </w:rPr>
        <w:t xml:space="preserve"> y diversos especialistas en derecho penal juvenil evidencian la necesidad de implementar protocolos especializados, </w:t>
      </w:r>
      <w:r w:rsidR="008806E0" w:rsidRPr="007122CA">
        <w:rPr>
          <w:rFonts w:ascii="Times New Roman" w:hAnsi="Times New Roman" w:cs="Times New Roman"/>
          <w:color w:val="000000" w:themeColor="text1"/>
          <w:kern w:val="0"/>
          <w:lang w:val="es-DO"/>
        </w:rPr>
        <w:lastRenderedPageBreak/>
        <w:t xml:space="preserve">mecanismos </w:t>
      </w:r>
      <w:r w:rsidR="008806E0" w:rsidRPr="0006656E">
        <w:rPr>
          <w:rFonts w:ascii="Times New Roman" w:hAnsi="Times New Roman" w:cs="Times New Roman"/>
          <w:color w:val="000000" w:themeColor="text1"/>
          <w:kern w:val="0"/>
          <w:lang w:val="es-DO"/>
        </w:rPr>
        <w:t>restaurativos y estrategias preventivas que permitan abordar adecuadamente esta problemática.</w:t>
      </w:r>
      <w:r w:rsidR="0006656E" w:rsidRPr="0006656E">
        <w:rPr>
          <w:rFonts w:ascii="Times New Roman" w:hAnsi="Times New Roman" w:cs="Times New Roman"/>
          <w:color w:val="000000" w:themeColor="text1"/>
          <w:kern w:val="0"/>
          <w:lang w:val="es-DO"/>
        </w:rPr>
        <w:t xml:space="preserve"> </w:t>
      </w:r>
      <w:r w:rsidR="0006656E" w:rsidRPr="0006656E">
        <w:rPr>
          <w:rFonts w:ascii="Times New Roman" w:hAnsi="Times New Roman" w:cs="Times New Roman"/>
        </w:rPr>
        <w:t>Esta orientación coincide con las recomendaciones del Comité de los Derechos del Niño de las Naciones Unidas (Observación General No. 25 sobre los derechos de los niños en el entorno digital), la cual insta a los Estados a adecuar sus Marcos Penales y Procesales a las dinámicas virtuales. Asimismo, experiencias del derecho comparado como la legislación española en materia de responsabilidad penal del menor o la Ley Olimpia en América Latina demuestran que la combinación de tipificación precisa con programas de sensibilización y reparación digital logra un equilibrio efectivo entre el interés superior del menor infractor y la tutela judicial efectiva de la víctima.</w:t>
      </w:r>
      <w:r w:rsidR="008806E0" w:rsidRPr="0006656E">
        <w:rPr>
          <w:rFonts w:ascii="Times New Roman" w:hAnsi="Times New Roman" w:cs="Times New Roman"/>
          <w:color w:val="000000" w:themeColor="text1"/>
          <w:kern w:val="0"/>
          <w:lang w:val="es-DO"/>
        </w:rPr>
        <w:t xml:space="preserve"> Por</w:t>
      </w:r>
      <w:r w:rsidR="008806E0" w:rsidRPr="007122CA">
        <w:rPr>
          <w:rFonts w:ascii="Times New Roman" w:hAnsi="Times New Roman" w:cs="Times New Roman"/>
          <w:color w:val="000000" w:themeColor="text1"/>
          <w:kern w:val="0"/>
          <w:lang w:val="es-DO"/>
        </w:rPr>
        <w:t xml:space="preserve"> tanto, se estima que la actualización normativa constituye una necesidad jurídica impostergable para garantizar la protección efectiva de los derechos fundamentales en el entorno digital.</w:t>
      </w:r>
    </w:p>
    <w:p w14:paraId="08354486" w14:textId="77777777" w:rsidR="001F549A" w:rsidRPr="007122CA" w:rsidRDefault="001F549A" w:rsidP="007122CA">
      <w:pPr>
        <w:autoSpaceDE w:val="0"/>
        <w:autoSpaceDN w:val="0"/>
        <w:adjustRightInd w:val="0"/>
        <w:spacing w:after="40" w:line="360" w:lineRule="auto"/>
        <w:rPr>
          <w:rFonts w:ascii="Times New Roman" w:hAnsi="Times New Roman" w:cs="Times New Roman"/>
          <w:b/>
          <w:bCs/>
          <w:color w:val="000000" w:themeColor="text1"/>
          <w:kern w:val="0"/>
          <w:lang w:val="es-DO"/>
        </w:rPr>
      </w:pPr>
    </w:p>
    <w:p w14:paraId="7E926C7E" w14:textId="77777777" w:rsidR="009548DE" w:rsidRPr="007122CA" w:rsidRDefault="00186C26" w:rsidP="007122CA">
      <w:pPr>
        <w:autoSpaceDE w:val="0"/>
        <w:autoSpaceDN w:val="0"/>
        <w:adjustRightInd w:val="0"/>
        <w:spacing w:after="0" w:line="360" w:lineRule="auto"/>
        <w:rPr>
          <w:rFonts w:ascii="Times New Roman" w:hAnsi="Times New Roman" w:cs="Times New Roman"/>
          <w:color w:val="000000" w:themeColor="text1"/>
          <w:kern w:val="0"/>
          <w:lang w:val="es-DO"/>
        </w:rPr>
      </w:pPr>
      <w:r w:rsidRPr="007122CA">
        <w:rPr>
          <w:rFonts w:ascii="Times New Roman" w:hAnsi="Times New Roman" w:cs="Times New Roman"/>
          <w:color w:val="000000" w:themeColor="text1"/>
          <w:kern w:val="0"/>
          <w:lang w:val="es-DO"/>
        </w:rPr>
        <w:t xml:space="preserve">La </w:t>
      </w:r>
      <w:r w:rsidR="008806E0" w:rsidRPr="007122CA">
        <w:rPr>
          <w:rFonts w:ascii="Times New Roman" w:hAnsi="Times New Roman" w:cs="Times New Roman"/>
          <w:color w:val="000000" w:themeColor="text1"/>
          <w:kern w:val="0"/>
          <w:lang w:val="es-DO"/>
        </w:rPr>
        <w:t xml:space="preserve">presente investigación permite responder que las limitaciones jurídicas existentes en el ordenamiento dominicano contribuyen significativamente a la impunidad procesal y a la desprotección de las víctimas de violencia digital y ciberacoso cometidos por menores de edad. </w:t>
      </w:r>
    </w:p>
    <w:p w14:paraId="5259173B" w14:textId="77777777" w:rsidR="009548DE" w:rsidRPr="007122CA" w:rsidRDefault="008806E0" w:rsidP="007122CA">
      <w:pPr>
        <w:autoSpaceDE w:val="0"/>
        <w:autoSpaceDN w:val="0"/>
        <w:adjustRightInd w:val="0"/>
        <w:spacing w:after="0" w:line="360" w:lineRule="auto"/>
        <w:rPr>
          <w:rFonts w:ascii="Times New Roman" w:hAnsi="Times New Roman" w:cs="Times New Roman"/>
          <w:color w:val="000000" w:themeColor="text1"/>
          <w:kern w:val="0"/>
          <w:lang w:val="es-DO"/>
        </w:rPr>
      </w:pPr>
      <w:r w:rsidRPr="007122CA">
        <w:rPr>
          <w:rFonts w:ascii="Times New Roman" w:hAnsi="Times New Roman" w:cs="Times New Roman"/>
          <w:color w:val="000000" w:themeColor="text1"/>
          <w:kern w:val="0"/>
          <w:lang w:val="es-DO"/>
        </w:rPr>
        <w:t xml:space="preserve">Se comprobó la existencia de vacíos normativos, insuficiencias institucionales y limitaciones procesales que dificultan la aplicación efectiva del sistema de justicia penal juvenil frente a las nuevas modalidades de violencia digital. </w:t>
      </w:r>
    </w:p>
    <w:p w14:paraId="3EDD1D35" w14:textId="77777777" w:rsidR="003647ED" w:rsidRPr="007122CA" w:rsidRDefault="003647ED" w:rsidP="007122CA">
      <w:pPr>
        <w:autoSpaceDE w:val="0"/>
        <w:autoSpaceDN w:val="0"/>
        <w:adjustRightInd w:val="0"/>
        <w:spacing w:after="0" w:line="360" w:lineRule="auto"/>
        <w:rPr>
          <w:rFonts w:ascii="Times New Roman" w:hAnsi="Times New Roman" w:cs="Times New Roman"/>
          <w:color w:val="000000" w:themeColor="text1"/>
          <w:kern w:val="0"/>
          <w:lang w:val="es-DO"/>
        </w:rPr>
      </w:pPr>
    </w:p>
    <w:p w14:paraId="43B64DE0" w14:textId="77777777" w:rsidR="008806E0" w:rsidRPr="007122CA" w:rsidRDefault="00186C26" w:rsidP="007122CA">
      <w:pPr>
        <w:autoSpaceDE w:val="0"/>
        <w:autoSpaceDN w:val="0"/>
        <w:adjustRightInd w:val="0"/>
        <w:spacing w:after="0" w:line="360" w:lineRule="auto"/>
        <w:rPr>
          <w:rFonts w:ascii="Times New Roman" w:hAnsi="Times New Roman" w:cs="Times New Roman"/>
          <w:color w:val="000000" w:themeColor="text1"/>
          <w:kern w:val="0"/>
          <w:lang w:val="es-DO"/>
        </w:rPr>
      </w:pPr>
      <w:r w:rsidRPr="007122CA">
        <w:rPr>
          <w:rFonts w:ascii="Times New Roman" w:hAnsi="Times New Roman" w:cs="Times New Roman"/>
          <w:color w:val="000000" w:themeColor="text1"/>
          <w:kern w:val="0"/>
          <w:lang w:val="es-DO"/>
        </w:rPr>
        <w:t>En conclusión</w:t>
      </w:r>
      <w:r w:rsidR="008806E0" w:rsidRPr="007122CA">
        <w:rPr>
          <w:rFonts w:ascii="Times New Roman" w:hAnsi="Times New Roman" w:cs="Times New Roman"/>
          <w:color w:val="000000" w:themeColor="text1"/>
          <w:kern w:val="0"/>
          <w:lang w:val="es-DO"/>
        </w:rPr>
        <w:t>, este estudio contribuye a visibilizar la necesidad de fortalecer el ordenamiento jurídico dominicano mediante reformas legislativas e institucionales orientadas a garantizar una protección integral de niños, niñas y adolescentes en el entorno digital. El cumplimiento de este objetivo requiere la armonización entre los principios de la justicia penal juvenil, la protección de los derechos fundamentales y las nuevas exigencias derivadas de la transformación tecnológica contemporánea. En consecuencia, resulta indispensable promover mecanismos jurídicos especializados que permitan prevenir, investigar y sancionar eficazmente las conductas de violencia digital sin desconocer las garantías propias del sistema de responsabilidad penal adolescente.</w:t>
      </w:r>
    </w:p>
    <w:p w14:paraId="43D65920" w14:textId="77777777" w:rsidR="00186C26" w:rsidRPr="007122CA" w:rsidRDefault="00186C26" w:rsidP="007122CA">
      <w:pPr>
        <w:spacing w:line="360" w:lineRule="auto"/>
        <w:rPr>
          <w:rFonts w:ascii="Times New Roman" w:hAnsi="Times New Roman" w:cs="Times New Roman"/>
          <w:color w:val="000000" w:themeColor="text1"/>
          <w:lang w:val="es-DO"/>
        </w:rPr>
      </w:pPr>
    </w:p>
    <w:p w14:paraId="1125F6CC" w14:textId="77777777" w:rsidR="003647ED" w:rsidRPr="007122CA" w:rsidRDefault="003647ED" w:rsidP="007122CA">
      <w:pPr>
        <w:spacing w:line="360" w:lineRule="auto"/>
        <w:rPr>
          <w:rFonts w:ascii="Times New Roman" w:hAnsi="Times New Roman" w:cs="Times New Roman"/>
          <w:b/>
          <w:bCs/>
          <w:color w:val="000000" w:themeColor="text1"/>
          <w:lang w:val="es-DO"/>
        </w:rPr>
      </w:pPr>
      <w:r w:rsidRPr="007122CA">
        <w:rPr>
          <w:rFonts w:ascii="Times New Roman" w:hAnsi="Times New Roman" w:cs="Times New Roman"/>
          <w:b/>
          <w:bCs/>
          <w:color w:val="000000" w:themeColor="text1"/>
          <w:lang w:val="es-DO"/>
        </w:rPr>
        <w:br w:type="page"/>
      </w:r>
    </w:p>
    <w:p w14:paraId="78799F3C" w14:textId="77777777" w:rsidR="00513F1A" w:rsidRDefault="00513F1A" w:rsidP="00513F1A">
      <w:pPr>
        <w:pStyle w:val="isselectedend"/>
        <w:spacing w:line="360" w:lineRule="auto"/>
        <w:rPr>
          <w:color w:val="000000"/>
        </w:rPr>
      </w:pPr>
      <w:r>
        <w:rPr>
          <w:rStyle w:val="Strong"/>
          <w:color w:val="000000"/>
        </w:rPr>
        <w:lastRenderedPageBreak/>
        <w:t>Justificación del uso de la inteligencia artificial</w:t>
      </w:r>
    </w:p>
    <w:p w14:paraId="6CDECAAA" w14:textId="77777777" w:rsidR="00513F1A" w:rsidRDefault="00513F1A" w:rsidP="00513F1A">
      <w:pPr>
        <w:pStyle w:val="NormalWeb"/>
        <w:spacing w:line="360" w:lineRule="auto"/>
        <w:rPr>
          <w:color w:val="000000"/>
        </w:rPr>
      </w:pPr>
      <w:r>
        <w:rPr>
          <w:color w:val="000000"/>
        </w:rPr>
        <w:t>La inteligencia artificial fue utilizada como una herramienta de apoyo durante la elaboración de este ensayo, principalmente para la organización de ideas, la mejora de la redacción y la estructuración del contenido. Su uso no sustituyó el análisis ni la interpretación jurídica realizada por la autora, sino que sirvió como un recurso complementario para facilitar el proceso de investigación y escritura. Asimismo, todas las fuentes, argumentos y referencias incluidas en el trabajo fueron revisados y verificados para garantizar el rigor académico y la calidad de la investigación.</w:t>
      </w:r>
    </w:p>
    <w:p w14:paraId="3A11BDFD" w14:textId="77777777" w:rsidR="00186C26" w:rsidRPr="007122CA" w:rsidRDefault="00186C26" w:rsidP="007122CA">
      <w:pPr>
        <w:spacing w:line="360" w:lineRule="auto"/>
        <w:rPr>
          <w:rFonts w:ascii="Times New Roman" w:hAnsi="Times New Roman" w:cs="Times New Roman"/>
          <w:b/>
          <w:bCs/>
          <w:color w:val="000000" w:themeColor="text1"/>
          <w:lang w:val="es-DO"/>
        </w:rPr>
      </w:pPr>
      <w:r w:rsidRPr="007122CA">
        <w:rPr>
          <w:rFonts w:ascii="Times New Roman" w:hAnsi="Times New Roman" w:cs="Times New Roman"/>
          <w:b/>
          <w:bCs/>
          <w:color w:val="000000" w:themeColor="text1"/>
          <w:lang w:val="es-DO"/>
        </w:rPr>
        <w:t>Referencias bibliograficas:</w:t>
      </w:r>
    </w:p>
    <w:p w14:paraId="7AFEDEEF" w14:textId="77777777" w:rsidR="002E084E" w:rsidRDefault="00186C26" w:rsidP="002E084E">
      <w:pPr>
        <w:spacing w:line="360" w:lineRule="auto"/>
      </w:pPr>
      <w:r w:rsidRPr="007122CA">
        <w:rPr>
          <w:rFonts w:ascii="Times New Roman" w:hAnsi="Times New Roman" w:cs="Times New Roman"/>
          <w:color w:val="000000"/>
        </w:rPr>
        <w:t>Miró Llinares, Fernando. “Derecho Penal, Cyberbullying Y Otras Formas De Acoso (NoSexual) En El Ciberespacio.” Redalyc, Ju</w:t>
      </w:r>
      <w:r w:rsidR="0006656E">
        <w:rPr>
          <w:rFonts w:ascii="Times New Roman" w:hAnsi="Times New Roman" w:cs="Times New Roman"/>
          <w:color w:val="000000"/>
        </w:rPr>
        <w:t>nio</w:t>
      </w:r>
      <w:r w:rsidRPr="007122CA">
        <w:rPr>
          <w:rFonts w:ascii="Times New Roman" w:hAnsi="Times New Roman" w:cs="Times New Roman"/>
          <w:color w:val="000000"/>
        </w:rPr>
        <w:t xml:space="preserve"> 2013. </w:t>
      </w:r>
      <w:r w:rsidR="007122CA" w:rsidRPr="007122CA">
        <w:rPr>
          <w:rFonts w:ascii="Times New Roman" w:hAnsi="Times New Roman" w:cs="Times New Roman"/>
          <w:color w:val="000000"/>
        </w:rPr>
        <w:t>Consultado el 28 de junio del 2026</w:t>
      </w:r>
      <w:r w:rsidRPr="007122CA">
        <w:rPr>
          <w:rFonts w:ascii="Times New Roman" w:hAnsi="Times New Roman" w:cs="Times New Roman"/>
          <w:color w:val="000000"/>
        </w:rPr>
        <w:t>.</w:t>
      </w:r>
      <w:r w:rsidRPr="007122CA">
        <w:rPr>
          <w:rStyle w:val="apple-converted-space"/>
          <w:rFonts w:ascii="Times New Roman" w:hAnsi="Times New Roman" w:cs="Times New Roman"/>
          <w:color w:val="000000"/>
        </w:rPr>
        <w:t> </w:t>
      </w:r>
      <w:hyperlink r:id="rId7" w:history="1">
        <w:r w:rsidRPr="007122CA">
          <w:rPr>
            <w:rStyle w:val="Hyperlink"/>
            <w:rFonts w:ascii="Times New Roman" w:hAnsi="Times New Roman" w:cs="Times New Roman"/>
          </w:rPr>
          <w:t>https://www.redalyc.org/pdf/788/78828864006.pdf</w:t>
        </w:r>
      </w:hyperlink>
    </w:p>
    <w:p w14:paraId="39C64AA1" w14:textId="5DF42A12" w:rsidR="00186C26" w:rsidRPr="007122CA" w:rsidRDefault="00186C26" w:rsidP="002E084E">
      <w:pPr>
        <w:spacing w:line="360" w:lineRule="auto"/>
        <w:rPr>
          <w:rFonts w:ascii="Times New Roman" w:hAnsi="Times New Roman" w:cs="Times New Roman"/>
          <w:color w:val="000000"/>
        </w:rPr>
      </w:pPr>
      <w:r w:rsidRPr="007122CA">
        <w:rPr>
          <w:rFonts w:ascii="Times New Roman" w:hAnsi="Times New Roman" w:cs="Times New Roman"/>
          <w:color w:val="000000"/>
        </w:rPr>
        <w:t xml:space="preserve">Concepción Rodríguez González Del Real, “La jurisdicción de menores ante los casos de bullying y ciberbullying,” Dialnet, 2017, </w:t>
      </w:r>
      <w:r w:rsidR="007122CA" w:rsidRPr="007122CA">
        <w:rPr>
          <w:rFonts w:ascii="Times New Roman" w:hAnsi="Times New Roman" w:cs="Times New Roman"/>
          <w:color w:val="000000"/>
        </w:rPr>
        <w:t>C</w:t>
      </w:r>
      <w:r w:rsidR="003647ED" w:rsidRPr="007122CA">
        <w:rPr>
          <w:rFonts w:ascii="Times New Roman" w:hAnsi="Times New Roman" w:cs="Times New Roman"/>
          <w:color w:val="000000"/>
        </w:rPr>
        <w:t>onsultado el</w:t>
      </w:r>
      <w:r w:rsidR="007122CA" w:rsidRPr="007122CA">
        <w:rPr>
          <w:rFonts w:ascii="Times New Roman" w:hAnsi="Times New Roman" w:cs="Times New Roman"/>
          <w:color w:val="000000"/>
        </w:rPr>
        <w:t xml:space="preserve"> 28 de junio del </w:t>
      </w:r>
      <w:r w:rsidRPr="007122CA">
        <w:rPr>
          <w:rFonts w:ascii="Times New Roman" w:hAnsi="Times New Roman" w:cs="Times New Roman"/>
          <w:color w:val="000000"/>
        </w:rPr>
        <w:t>2026,</w:t>
      </w:r>
      <w:r w:rsidRPr="007122CA">
        <w:rPr>
          <w:rStyle w:val="apple-converted-space"/>
          <w:rFonts w:ascii="Times New Roman" w:hAnsi="Times New Roman" w:cs="Times New Roman"/>
          <w:color w:val="000000"/>
        </w:rPr>
        <w:t> </w:t>
      </w:r>
      <w:hyperlink r:id="rId8" w:history="1">
        <w:r w:rsidRPr="007122CA">
          <w:rPr>
            <w:rStyle w:val="Hyperlink"/>
            <w:rFonts w:ascii="Times New Roman" w:hAnsi="Times New Roman" w:cs="Times New Roman"/>
          </w:rPr>
          <w:t>https://dialnet.unirioja.es/servlet/articulo?codigo=6215262</w:t>
        </w:r>
      </w:hyperlink>
    </w:p>
    <w:p w14:paraId="0729D031" w14:textId="77777777" w:rsidR="00186C26" w:rsidRPr="007122CA" w:rsidRDefault="00186C26" w:rsidP="007122CA">
      <w:pPr>
        <w:pStyle w:val="NormalWeb"/>
        <w:spacing w:before="0" w:beforeAutospacing="0" w:after="0" w:afterAutospacing="0" w:line="360" w:lineRule="auto"/>
      </w:pPr>
    </w:p>
    <w:p w14:paraId="6A24A923" w14:textId="10018CB5" w:rsidR="00186C26" w:rsidRPr="007122CA" w:rsidRDefault="00186C26" w:rsidP="007122CA">
      <w:pPr>
        <w:pStyle w:val="NormalWeb"/>
        <w:spacing w:before="0" w:beforeAutospacing="0" w:after="0" w:afterAutospacing="0" w:line="360" w:lineRule="auto"/>
        <w:rPr>
          <w:color w:val="000000"/>
        </w:rPr>
      </w:pPr>
      <w:r w:rsidRPr="007122CA">
        <w:rPr>
          <w:color w:val="000000"/>
        </w:rPr>
        <w:t>Sisa Romero, Jeferson Israel. “El ciberacoso de niños, niñas y adolecentes,  y su incidencia en la vulneración al derecho del desarrollo educativo en la escuela Francisco Huerta Rendón enel año 2022.” U</w:t>
      </w:r>
      <w:r w:rsidR="0006656E">
        <w:rPr>
          <w:color w:val="000000"/>
        </w:rPr>
        <w:t>nidades</w:t>
      </w:r>
      <w:r w:rsidRPr="007122CA">
        <w:rPr>
          <w:color w:val="000000"/>
        </w:rPr>
        <w:t>, Sept</w:t>
      </w:r>
      <w:r w:rsidR="0006656E">
        <w:rPr>
          <w:color w:val="000000"/>
        </w:rPr>
        <w:t>iembre</w:t>
      </w:r>
      <w:r w:rsidRPr="007122CA">
        <w:rPr>
          <w:color w:val="000000"/>
        </w:rPr>
        <w:t xml:space="preserve"> 2024. </w:t>
      </w:r>
      <w:r w:rsidR="007122CA" w:rsidRPr="007122CA">
        <w:rPr>
          <w:color w:val="000000"/>
        </w:rPr>
        <w:t>Consultado el 28 de junio del 2026</w:t>
      </w:r>
      <w:r w:rsidRPr="007122CA">
        <w:rPr>
          <w:color w:val="000000"/>
        </w:rPr>
        <w:t>.</w:t>
      </w:r>
      <w:r w:rsidRPr="007122CA">
        <w:rPr>
          <w:rStyle w:val="apple-converted-space"/>
          <w:color w:val="000000"/>
        </w:rPr>
        <w:t> </w:t>
      </w:r>
      <w:hyperlink r:id="rId9" w:history="1">
        <w:r w:rsidRPr="007122CA">
          <w:rPr>
            <w:rStyle w:val="Hyperlink"/>
          </w:rPr>
          <w:t>https://dspace.uniandes.edu.ec/bitstream/123456789/18824/1/UB-DER-EAC-033-2024.pdf</w:t>
        </w:r>
      </w:hyperlink>
    </w:p>
    <w:p w14:paraId="1B798C8B" w14:textId="77777777" w:rsidR="00186C26" w:rsidRPr="007122CA" w:rsidRDefault="00186C26" w:rsidP="007122CA">
      <w:pPr>
        <w:pStyle w:val="NormalWeb"/>
        <w:spacing w:before="0" w:beforeAutospacing="0" w:after="0" w:afterAutospacing="0" w:line="360" w:lineRule="auto"/>
      </w:pPr>
    </w:p>
    <w:p w14:paraId="21116865" w14:textId="54FB863F" w:rsidR="007122CA" w:rsidRPr="007122CA" w:rsidRDefault="00186C26" w:rsidP="007122CA">
      <w:pPr>
        <w:pStyle w:val="NormalWeb"/>
        <w:spacing w:before="0" w:beforeAutospacing="0" w:after="0" w:afterAutospacing="0" w:line="360" w:lineRule="auto"/>
        <w:rPr>
          <w:color w:val="000000"/>
        </w:rPr>
      </w:pPr>
      <w:r w:rsidRPr="007122CA">
        <w:rPr>
          <w:color w:val="000000"/>
        </w:rPr>
        <w:t>Tribunal Constitucional. “Detalle sentencia TC/0042/12,” Sep</w:t>
      </w:r>
      <w:r w:rsidR="0006656E">
        <w:rPr>
          <w:color w:val="000000"/>
        </w:rPr>
        <w:t>tiembre</w:t>
      </w:r>
      <w:r w:rsidRPr="007122CA">
        <w:rPr>
          <w:color w:val="000000"/>
        </w:rPr>
        <w:t xml:space="preserve"> 21, 2012. </w:t>
      </w:r>
      <w:r w:rsidR="0006656E">
        <w:rPr>
          <w:color w:val="000000"/>
        </w:rPr>
        <w:t>C</w:t>
      </w:r>
      <w:r w:rsidR="007122CA" w:rsidRPr="007122CA">
        <w:rPr>
          <w:color w:val="000000"/>
        </w:rPr>
        <w:t>onsultado el 28 de junio del 2026.</w:t>
      </w:r>
    </w:p>
    <w:p w14:paraId="33DEB180" w14:textId="77777777" w:rsidR="00186C26" w:rsidRPr="007122CA" w:rsidRDefault="00186C26" w:rsidP="007122CA">
      <w:pPr>
        <w:pStyle w:val="NormalWeb"/>
        <w:spacing w:before="0" w:beforeAutospacing="0" w:after="0" w:afterAutospacing="0" w:line="360" w:lineRule="auto"/>
        <w:rPr>
          <w:color w:val="000000"/>
        </w:rPr>
      </w:pPr>
      <w:r w:rsidRPr="007122CA">
        <w:rPr>
          <w:rStyle w:val="apple-converted-space"/>
          <w:color w:val="000000"/>
        </w:rPr>
        <w:t> </w:t>
      </w:r>
      <w:hyperlink r:id="rId10" w:history="1">
        <w:r w:rsidRPr="007122CA">
          <w:rPr>
            <w:rStyle w:val="Hyperlink"/>
          </w:rPr>
          <w:t>https://www.tribunalconstitucional.gob.do/consultas/secretaría/sentencias/tc004212/</w:t>
        </w:r>
      </w:hyperlink>
    </w:p>
    <w:p w14:paraId="014C47EE" w14:textId="77777777" w:rsidR="00186C26" w:rsidRPr="007122CA" w:rsidRDefault="00186C26" w:rsidP="007122CA">
      <w:pPr>
        <w:pStyle w:val="NormalWeb"/>
        <w:spacing w:before="0" w:beforeAutospacing="0" w:after="0" w:afterAutospacing="0" w:line="360" w:lineRule="auto"/>
        <w:rPr>
          <w:color w:val="000000"/>
        </w:rPr>
      </w:pPr>
    </w:p>
    <w:p w14:paraId="6670336D" w14:textId="532B4B44" w:rsidR="00186C26" w:rsidRPr="007122CA" w:rsidRDefault="00186C26" w:rsidP="007122CA">
      <w:pPr>
        <w:pStyle w:val="NormalWeb"/>
        <w:spacing w:before="0" w:beforeAutospacing="0" w:after="0" w:afterAutospacing="0" w:line="360" w:lineRule="auto"/>
        <w:rPr>
          <w:color w:val="000000"/>
        </w:rPr>
      </w:pPr>
      <w:r w:rsidRPr="007122CA">
        <w:rPr>
          <w:color w:val="000000"/>
        </w:rPr>
        <w:t>Tribunal Constitucional. “Detalle sentencia TC/0468/24,” Sep</w:t>
      </w:r>
      <w:r w:rsidR="0006656E">
        <w:rPr>
          <w:color w:val="000000"/>
        </w:rPr>
        <w:t>tiembre</w:t>
      </w:r>
      <w:r w:rsidRPr="007122CA">
        <w:rPr>
          <w:color w:val="000000"/>
        </w:rPr>
        <w:t xml:space="preserve"> 23, 2024. </w:t>
      </w:r>
      <w:r w:rsidR="0006656E">
        <w:rPr>
          <w:color w:val="000000"/>
        </w:rPr>
        <w:t>C</w:t>
      </w:r>
      <w:r w:rsidR="007122CA" w:rsidRPr="007122CA">
        <w:rPr>
          <w:color w:val="000000"/>
        </w:rPr>
        <w:t>onsultado el 28 de junio del 2026</w:t>
      </w:r>
      <w:r w:rsidRPr="007122CA">
        <w:rPr>
          <w:color w:val="000000"/>
        </w:rPr>
        <w:t>.</w:t>
      </w:r>
      <w:r w:rsidRPr="007122CA">
        <w:rPr>
          <w:rStyle w:val="apple-converted-space"/>
          <w:color w:val="000000"/>
        </w:rPr>
        <w:t> </w:t>
      </w:r>
      <w:hyperlink r:id="rId11" w:history="1">
        <w:r w:rsidRPr="007122CA">
          <w:rPr>
            <w:rStyle w:val="Hyperlink"/>
          </w:rPr>
          <w:t>https://www.tribunalconstitucional.gob.do/consultas/secretaría/sentencias/tc046824/</w:t>
        </w:r>
      </w:hyperlink>
    </w:p>
    <w:p w14:paraId="7971BEC0" w14:textId="77777777" w:rsidR="00186C26" w:rsidRPr="007122CA" w:rsidRDefault="00186C26" w:rsidP="007122CA">
      <w:pPr>
        <w:pStyle w:val="NormalWeb"/>
        <w:spacing w:before="0" w:beforeAutospacing="0" w:after="0" w:afterAutospacing="0" w:line="360" w:lineRule="auto"/>
        <w:rPr>
          <w:color w:val="000000"/>
        </w:rPr>
      </w:pPr>
    </w:p>
    <w:p w14:paraId="1BAFD579" w14:textId="5D2B99D0" w:rsidR="00186C26" w:rsidRPr="007122CA" w:rsidRDefault="00186C26" w:rsidP="007122CA">
      <w:pPr>
        <w:pStyle w:val="NormalWeb"/>
        <w:spacing w:before="0" w:beforeAutospacing="0" w:after="0" w:afterAutospacing="0" w:line="360" w:lineRule="auto"/>
        <w:rPr>
          <w:color w:val="000000"/>
        </w:rPr>
      </w:pPr>
      <w:r w:rsidRPr="007122CA">
        <w:rPr>
          <w:color w:val="000000"/>
        </w:rPr>
        <w:t>Garaigordobil, Maite. “Cyberbullying, Problematic Use of the Internet and Social Media: The Dark Side of the Technological Era / Ciberacoso, Uso Problemático De Internet Y Las Redes Sociales: El Lado Oscuro De La Era Tecnológica.”</w:t>
      </w:r>
      <w:r w:rsidRPr="007122CA">
        <w:rPr>
          <w:rStyle w:val="apple-converted-space"/>
          <w:color w:val="000000"/>
        </w:rPr>
        <w:t> </w:t>
      </w:r>
      <w:r w:rsidRPr="007122CA">
        <w:rPr>
          <w:color w:val="000000"/>
        </w:rPr>
        <w:t>Journal for the Study of Education and Development Infancia Y Aprendizaje</w:t>
      </w:r>
      <w:r w:rsidRPr="007122CA">
        <w:rPr>
          <w:rStyle w:val="apple-converted-space"/>
          <w:color w:val="000000"/>
        </w:rPr>
        <w:t> </w:t>
      </w:r>
      <w:r w:rsidRPr="007122CA">
        <w:rPr>
          <w:color w:val="000000"/>
        </w:rPr>
        <w:t>48, no. 3 (Ag</w:t>
      </w:r>
      <w:r w:rsidR="0006656E">
        <w:rPr>
          <w:color w:val="000000"/>
        </w:rPr>
        <w:t>osto</w:t>
      </w:r>
      <w:r w:rsidRPr="007122CA">
        <w:rPr>
          <w:color w:val="000000"/>
        </w:rPr>
        <w:t xml:space="preserve"> 3, 2025): 504–45</w:t>
      </w:r>
      <w:r w:rsidR="007122CA" w:rsidRPr="007122CA">
        <w:rPr>
          <w:color w:val="000000"/>
        </w:rPr>
        <w:t xml:space="preserve">. </w:t>
      </w:r>
      <w:r w:rsidR="0006656E">
        <w:rPr>
          <w:color w:val="000000"/>
        </w:rPr>
        <w:t>C</w:t>
      </w:r>
      <w:r w:rsidR="007122CA" w:rsidRPr="007122CA">
        <w:rPr>
          <w:color w:val="000000"/>
        </w:rPr>
        <w:t>onsultado el 28 de junio del 2026</w:t>
      </w:r>
      <w:r w:rsidRPr="007122CA">
        <w:rPr>
          <w:color w:val="000000"/>
        </w:rPr>
        <w:t>.</w:t>
      </w:r>
      <w:r w:rsidRPr="007122CA">
        <w:rPr>
          <w:rStyle w:val="apple-converted-space"/>
          <w:color w:val="000000"/>
        </w:rPr>
        <w:t> </w:t>
      </w:r>
      <w:hyperlink r:id="rId12" w:history="1">
        <w:r w:rsidRPr="007122CA">
          <w:rPr>
            <w:rStyle w:val="Hyperlink"/>
          </w:rPr>
          <w:t>https://doi.org/10.1177/02103702251352765</w:t>
        </w:r>
      </w:hyperlink>
    </w:p>
    <w:p w14:paraId="439D310A" w14:textId="77777777" w:rsidR="00513F1A" w:rsidRPr="007122CA" w:rsidRDefault="00513F1A" w:rsidP="00513F1A">
      <w:pPr>
        <w:pStyle w:val="NormalWeb"/>
        <w:spacing w:before="0" w:beforeAutospacing="0" w:after="0" w:afterAutospacing="0" w:line="360" w:lineRule="auto"/>
        <w:rPr>
          <w:color w:val="000000"/>
        </w:rPr>
      </w:pPr>
    </w:p>
    <w:sectPr w:rsidR="00513F1A" w:rsidRPr="007122C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54CA19" w14:textId="77777777" w:rsidR="00DB2493" w:rsidRDefault="00DB2493" w:rsidP="00FD2E6E">
      <w:pPr>
        <w:spacing w:after="0" w:line="240" w:lineRule="auto"/>
      </w:pPr>
      <w:r>
        <w:separator/>
      </w:r>
    </w:p>
  </w:endnote>
  <w:endnote w:type="continuationSeparator" w:id="0">
    <w:p w14:paraId="629662C5" w14:textId="77777777" w:rsidR="00DB2493" w:rsidRDefault="00DB2493" w:rsidP="00FD2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AFEB72" w14:textId="77777777" w:rsidR="00DB2493" w:rsidRDefault="00DB2493" w:rsidP="00FD2E6E">
      <w:pPr>
        <w:spacing w:after="0" w:line="240" w:lineRule="auto"/>
      </w:pPr>
      <w:r>
        <w:separator/>
      </w:r>
    </w:p>
  </w:footnote>
  <w:footnote w:type="continuationSeparator" w:id="0">
    <w:p w14:paraId="62C9915E" w14:textId="77777777" w:rsidR="00DB2493" w:rsidRDefault="00DB2493" w:rsidP="00FD2E6E">
      <w:pPr>
        <w:spacing w:after="0" w:line="240" w:lineRule="auto"/>
      </w:pPr>
      <w:r>
        <w:continuationSeparator/>
      </w:r>
    </w:p>
  </w:footnote>
  <w:footnote w:id="1">
    <w:p w14:paraId="6E1278C8" w14:textId="77777777" w:rsidR="00FD2E6E" w:rsidRPr="00F828B5" w:rsidRDefault="00FD2E6E" w:rsidP="007122CA">
      <w:pPr>
        <w:pStyle w:val="NormalWeb"/>
        <w:spacing w:before="0" w:beforeAutospacing="0" w:after="0" w:afterAutospacing="0" w:line="276" w:lineRule="auto"/>
        <w:ind w:left="720" w:hanging="720"/>
        <w:rPr>
          <w:color w:val="000000"/>
        </w:rPr>
      </w:pPr>
      <w:r w:rsidRPr="00D40C33">
        <w:rPr>
          <w:rStyle w:val="FootnoteReference"/>
        </w:rPr>
        <w:footnoteRef/>
      </w:r>
      <w:r w:rsidRPr="00D40C33">
        <w:t xml:space="preserve"> </w:t>
      </w:r>
      <w:r w:rsidRPr="00D40C33">
        <w:rPr>
          <w:color w:val="000000"/>
        </w:rPr>
        <w:t>Miró Llinares, Fernando. “Derecho Penal, Cyberbullying Y Otras Formas De Acoso</w:t>
      </w:r>
      <w:r w:rsidR="00D40C33">
        <w:rPr>
          <w:color w:val="000000"/>
        </w:rPr>
        <w:t xml:space="preserve"> </w:t>
      </w:r>
      <w:r w:rsidRPr="00D40C33">
        <w:rPr>
          <w:color w:val="000000"/>
        </w:rPr>
        <w:t xml:space="preserve">(NoSexual) En El Ciberespacio.” Redalyc, June 2013. </w:t>
      </w:r>
      <w:r w:rsidR="007122CA">
        <w:rPr>
          <w:color w:val="000000"/>
        </w:rPr>
        <w:t xml:space="preserve">Consultado el 28 de junio del </w:t>
      </w:r>
      <w:r w:rsidR="007122CA" w:rsidRPr="003647ED">
        <w:rPr>
          <w:color w:val="000000"/>
        </w:rPr>
        <w:t>2026</w:t>
      </w:r>
      <w:r w:rsidR="007122CA">
        <w:rPr>
          <w:color w:val="000000"/>
        </w:rPr>
        <w:t xml:space="preserve">. </w:t>
      </w:r>
      <w:hyperlink r:id="rId1" w:history="1">
        <w:r w:rsidR="007122CA" w:rsidRPr="00B52130">
          <w:rPr>
            <w:rStyle w:val="Hyperlink"/>
          </w:rPr>
          <w:t>https://www.redalyc.org/pdf/788/78828864006.pdf</w:t>
        </w:r>
      </w:hyperlink>
      <w:r w:rsidR="007122CA">
        <w:rPr>
          <w:color w:val="000000"/>
        </w:rPr>
        <w:t xml:space="preserve"> </w:t>
      </w:r>
    </w:p>
  </w:footnote>
  <w:footnote w:id="2">
    <w:p w14:paraId="55B090A2" w14:textId="77777777" w:rsidR="00FD2E6E" w:rsidRPr="00D40C33" w:rsidRDefault="00FD2E6E" w:rsidP="007122CA">
      <w:pPr>
        <w:pStyle w:val="FootnoteText"/>
        <w:spacing w:line="276" w:lineRule="auto"/>
        <w:rPr>
          <w:lang w:val="es-DO"/>
        </w:rPr>
      </w:pPr>
      <w:r w:rsidRPr="00D40C33">
        <w:rPr>
          <w:rStyle w:val="FootnoteReference"/>
          <w:rFonts w:ascii="Times New Roman" w:hAnsi="Times New Roman" w:cs="Times New Roman"/>
          <w:sz w:val="24"/>
          <w:szCs w:val="24"/>
        </w:rPr>
        <w:footnoteRef/>
      </w:r>
      <w:r w:rsidRPr="00D40C33">
        <w:rPr>
          <w:rFonts w:ascii="Times New Roman" w:hAnsi="Times New Roman" w:cs="Times New Roman"/>
          <w:sz w:val="24"/>
          <w:szCs w:val="24"/>
        </w:rPr>
        <w:t xml:space="preserve"> </w:t>
      </w:r>
      <w:r w:rsidR="00D40C33" w:rsidRPr="00D40C33">
        <w:rPr>
          <w:rFonts w:ascii="Times New Roman" w:hAnsi="Times New Roman" w:cs="Times New Roman"/>
          <w:color w:val="000000"/>
          <w:sz w:val="24"/>
          <w:szCs w:val="24"/>
        </w:rPr>
        <w:t>Concepción Rodríguez González Del Real, “La jurisdicción de menores ante los casos de bullying y ciberbullying,” Dialnet, 2017</w:t>
      </w:r>
      <w:r w:rsidR="007122CA">
        <w:rPr>
          <w:rFonts w:ascii="Times New Roman" w:hAnsi="Times New Roman" w:cs="Times New Roman"/>
          <w:color w:val="000000"/>
          <w:sz w:val="24"/>
          <w:szCs w:val="24"/>
        </w:rPr>
        <w:t xml:space="preserve">.Consultado el 28 de junio del </w:t>
      </w:r>
      <w:r w:rsidR="007122CA" w:rsidRPr="003647ED">
        <w:rPr>
          <w:rFonts w:ascii="Times New Roman" w:hAnsi="Times New Roman" w:cs="Times New Roman"/>
          <w:color w:val="000000"/>
          <w:sz w:val="24"/>
          <w:szCs w:val="24"/>
        </w:rPr>
        <w:t>2026</w:t>
      </w:r>
      <w:r w:rsidR="00D40C33" w:rsidRPr="00D40C33">
        <w:rPr>
          <w:rFonts w:ascii="Times New Roman" w:hAnsi="Times New Roman" w:cs="Times New Roman"/>
          <w:color w:val="000000"/>
          <w:sz w:val="24"/>
          <w:szCs w:val="24"/>
        </w:rPr>
        <w:t>,</w:t>
      </w:r>
      <w:r w:rsidR="00D40C33" w:rsidRPr="00D40C33">
        <w:rPr>
          <w:rStyle w:val="apple-converted-space"/>
          <w:rFonts w:ascii="Times New Roman" w:hAnsi="Times New Roman" w:cs="Times New Roman"/>
          <w:color w:val="000000"/>
          <w:sz w:val="24"/>
          <w:szCs w:val="24"/>
        </w:rPr>
        <w:t> </w:t>
      </w:r>
      <w:hyperlink r:id="rId2" w:history="1">
        <w:r w:rsidR="007122CA" w:rsidRPr="00B52130">
          <w:rPr>
            <w:rStyle w:val="Hyperlink"/>
            <w:rFonts w:ascii="Times New Roman" w:hAnsi="Times New Roman" w:cs="Times New Roman"/>
            <w:sz w:val="24"/>
            <w:szCs w:val="24"/>
          </w:rPr>
          <w:t>https://dialnet.unirioja.es/servlet/articulo?codigo=6215262</w:t>
        </w:r>
      </w:hyperlink>
      <w:r w:rsidR="007122CA">
        <w:rPr>
          <w:rFonts w:ascii="Times New Roman" w:hAnsi="Times New Roman" w:cs="Times New Roman"/>
          <w:color w:val="000000"/>
          <w:sz w:val="24"/>
          <w:szCs w:val="24"/>
        </w:rPr>
        <w:t xml:space="preserve"> </w:t>
      </w:r>
    </w:p>
  </w:footnote>
  <w:footnote w:id="3">
    <w:p w14:paraId="71A979FB" w14:textId="77777777" w:rsidR="007122CA" w:rsidRPr="007122CA" w:rsidRDefault="009B7B83" w:rsidP="007122CA">
      <w:pPr>
        <w:pStyle w:val="NormalWeb"/>
        <w:spacing w:before="0" w:beforeAutospacing="0" w:after="0" w:afterAutospacing="0" w:line="276" w:lineRule="auto"/>
        <w:ind w:left="720" w:hanging="720"/>
        <w:rPr>
          <w:color w:val="000000"/>
        </w:rPr>
      </w:pPr>
      <w:r>
        <w:rPr>
          <w:rStyle w:val="FootnoteReference"/>
        </w:rPr>
        <w:footnoteRef/>
      </w:r>
      <w:r>
        <w:t xml:space="preserve"> </w:t>
      </w:r>
      <w:r>
        <w:rPr>
          <w:color w:val="000000"/>
        </w:rPr>
        <w:t xml:space="preserve">Sisa Romero, Jeferson Israel. “El ciberacoso de niños, niñas y adolecentes,  y su incidencia en la vulneración al derecho del desarrollo educativo en la escuela Francisco Huerta Rendón enel año 2022.” UNIANDES, September 2024. </w:t>
      </w:r>
      <w:r w:rsidR="007122CA">
        <w:rPr>
          <w:color w:val="000000"/>
        </w:rPr>
        <w:t xml:space="preserve">Consultado el 28 de junio del </w:t>
      </w:r>
      <w:r w:rsidR="007122CA" w:rsidRPr="003647ED">
        <w:rPr>
          <w:color w:val="000000"/>
        </w:rPr>
        <w:t>2026</w:t>
      </w:r>
      <w:r>
        <w:rPr>
          <w:color w:val="000000"/>
        </w:rPr>
        <w:t>.</w:t>
      </w:r>
      <w:r>
        <w:rPr>
          <w:rStyle w:val="apple-converted-space"/>
          <w:color w:val="000000"/>
        </w:rPr>
        <w:t> </w:t>
      </w:r>
      <w:hyperlink r:id="rId3" w:history="1">
        <w:r w:rsidR="007122CA" w:rsidRPr="00B52130">
          <w:rPr>
            <w:rStyle w:val="Hyperlink"/>
          </w:rPr>
          <w:t>https://dspace.uniandes.edu.ec/bitstream/123456789/18824/1/UB-DER-EAC-033-2024.pdf</w:t>
        </w:r>
      </w:hyperlink>
      <w:r w:rsidR="007122CA">
        <w:rPr>
          <w:color w:val="000000"/>
        </w:rPr>
        <w:t xml:space="preserve"> </w:t>
      </w:r>
    </w:p>
  </w:footnote>
  <w:footnote w:id="4">
    <w:p w14:paraId="0DB977F1" w14:textId="77777777" w:rsidR="004D7ED7" w:rsidRPr="004D7ED7" w:rsidRDefault="004D7ED7" w:rsidP="007122CA">
      <w:pPr>
        <w:pStyle w:val="NormalWeb"/>
        <w:spacing w:before="0" w:beforeAutospacing="0" w:after="0" w:afterAutospacing="0" w:line="276" w:lineRule="auto"/>
        <w:rPr>
          <w:color w:val="000000"/>
        </w:rPr>
      </w:pPr>
      <w:r>
        <w:rPr>
          <w:rStyle w:val="FootnoteReference"/>
        </w:rPr>
        <w:footnoteRef/>
      </w:r>
      <w:r>
        <w:t xml:space="preserve"> </w:t>
      </w:r>
      <w:r>
        <w:rPr>
          <w:color w:val="000000"/>
        </w:rPr>
        <w:t xml:space="preserve">Tribunal Constitucional. “Detalle sentencia TC/0042/12,” September 21, 2012. </w:t>
      </w:r>
      <w:r w:rsidR="007122CA">
        <w:rPr>
          <w:color w:val="000000"/>
        </w:rPr>
        <w:t xml:space="preserve">Consultado el 28 de junio del </w:t>
      </w:r>
      <w:r w:rsidR="007122CA" w:rsidRPr="003647ED">
        <w:rPr>
          <w:color w:val="000000"/>
        </w:rPr>
        <w:t>2026</w:t>
      </w:r>
      <w:r>
        <w:rPr>
          <w:color w:val="000000"/>
        </w:rPr>
        <w:t>.</w:t>
      </w:r>
      <w:r>
        <w:rPr>
          <w:rStyle w:val="apple-converted-space"/>
          <w:color w:val="000000"/>
        </w:rPr>
        <w:t> </w:t>
      </w:r>
      <w:hyperlink r:id="rId4" w:history="1">
        <w:r w:rsidR="007122CA" w:rsidRPr="00B52130">
          <w:rPr>
            <w:rStyle w:val="Hyperlink"/>
          </w:rPr>
          <w:t>https://www.tribunalconstitucional.gob.do/consultas/secretaría/sentencias/tc004212/</w:t>
        </w:r>
      </w:hyperlink>
      <w:r w:rsidR="007122CA">
        <w:rPr>
          <w:color w:val="000000"/>
        </w:rPr>
        <w:t xml:space="preserve"> </w:t>
      </w:r>
    </w:p>
  </w:footnote>
  <w:footnote w:id="5">
    <w:p w14:paraId="1F3AFF71" w14:textId="77777777" w:rsidR="004D7ED7" w:rsidRPr="00F828B5" w:rsidRDefault="004D7ED7" w:rsidP="007122CA">
      <w:pPr>
        <w:pStyle w:val="NormalWeb"/>
        <w:spacing w:before="0" w:beforeAutospacing="0" w:after="0" w:afterAutospacing="0" w:line="276" w:lineRule="auto"/>
        <w:ind w:left="720" w:hanging="720"/>
        <w:rPr>
          <w:color w:val="000000"/>
        </w:rPr>
      </w:pPr>
      <w:r>
        <w:rPr>
          <w:rStyle w:val="FootnoteReference"/>
        </w:rPr>
        <w:footnoteRef/>
      </w:r>
      <w:r>
        <w:t xml:space="preserve"> </w:t>
      </w:r>
      <w:r>
        <w:rPr>
          <w:color w:val="000000"/>
        </w:rPr>
        <w:t xml:space="preserve">Tribunal Constitucional. “Detalle sentencia TC/0468/24,” September 23, 2024. </w:t>
      </w:r>
      <w:r w:rsidR="007122CA">
        <w:rPr>
          <w:color w:val="000000"/>
        </w:rPr>
        <w:t xml:space="preserve">Consultado el 28 de junio del </w:t>
      </w:r>
      <w:r w:rsidR="007122CA" w:rsidRPr="003647ED">
        <w:rPr>
          <w:color w:val="000000"/>
        </w:rPr>
        <w:t>2026</w:t>
      </w:r>
      <w:r>
        <w:rPr>
          <w:color w:val="000000"/>
        </w:rPr>
        <w:t>.</w:t>
      </w:r>
      <w:r>
        <w:rPr>
          <w:rStyle w:val="apple-converted-space"/>
          <w:color w:val="000000"/>
        </w:rPr>
        <w:t> </w:t>
      </w:r>
      <w:hyperlink r:id="rId5" w:history="1">
        <w:r w:rsidR="007122CA" w:rsidRPr="00B52130">
          <w:rPr>
            <w:rStyle w:val="Hyperlink"/>
          </w:rPr>
          <w:t>https://www.tribunalconstitucional.gob.do/consultas/secretaría/sentencias/tc046824/</w:t>
        </w:r>
      </w:hyperlink>
      <w:r w:rsidR="007122CA">
        <w:rPr>
          <w:color w:val="000000"/>
        </w:rPr>
        <w:t xml:space="preserve"> </w:t>
      </w:r>
    </w:p>
  </w:footnote>
  <w:footnote w:id="6">
    <w:p w14:paraId="35664FF1" w14:textId="77777777" w:rsidR="00F828B5" w:rsidRPr="00F828B5" w:rsidRDefault="00F828B5" w:rsidP="007122CA">
      <w:pPr>
        <w:pStyle w:val="NormalWeb"/>
        <w:spacing w:before="0" w:beforeAutospacing="0" w:after="0" w:afterAutospacing="0" w:line="276" w:lineRule="auto"/>
        <w:ind w:left="720" w:hanging="720"/>
        <w:rPr>
          <w:color w:val="000000"/>
        </w:rPr>
      </w:pPr>
      <w:r>
        <w:rPr>
          <w:rStyle w:val="FootnoteReference"/>
        </w:rPr>
        <w:footnoteRef/>
      </w:r>
      <w:r>
        <w:t xml:space="preserve"> </w:t>
      </w:r>
      <w:r>
        <w:rPr>
          <w:color w:val="000000"/>
        </w:rPr>
        <w:t>Garaigordobil, Maite. “Cyberbullying, Problematic Use of the Internet and Social Media: The Dark Side of the Technological Era / Ciberacoso, Uso Problemático De Internet Y Las Redes Sociales: El Lado Oscuro De La Era Tecnológica.”</w:t>
      </w:r>
      <w:r>
        <w:rPr>
          <w:rStyle w:val="apple-converted-space"/>
          <w:color w:val="000000"/>
        </w:rPr>
        <w:t> </w:t>
      </w:r>
      <w:r>
        <w:rPr>
          <w:i/>
          <w:iCs/>
          <w:color w:val="000000"/>
        </w:rPr>
        <w:t>Journal for the Study of Education and Development Infancia Y Aprendizaje</w:t>
      </w:r>
      <w:r>
        <w:rPr>
          <w:rStyle w:val="apple-converted-space"/>
          <w:color w:val="000000"/>
        </w:rPr>
        <w:t> </w:t>
      </w:r>
      <w:r>
        <w:rPr>
          <w:color w:val="000000"/>
        </w:rPr>
        <w:t>48, no. 3 (August 3, 2025): 504–45</w:t>
      </w:r>
      <w:r w:rsidR="007122CA">
        <w:rPr>
          <w:color w:val="000000"/>
        </w:rPr>
        <w:t>.</w:t>
      </w:r>
      <w:r w:rsidR="007122CA" w:rsidRPr="007122CA">
        <w:rPr>
          <w:color w:val="000000"/>
        </w:rPr>
        <w:t xml:space="preserve"> </w:t>
      </w:r>
      <w:r w:rsidR="007122CA">
        <w:rPr>
          <w:color w:val="000000"/>
        </w:rPr>
        <w:t xml:space="preserve">consultado el 28 de junio del </w:t>
      </w:r>
      <w:r w:rsidR="007122CA" w:rsidRPr="003647ED">
        <w:rPr>
          <w:color w:val="000000"/>
        </w:rPr>
        <w:t>2026</w:t>
      </w:r>
      <w:r>
        <w:rPr>
          <w:color w:val="000000"/>
        </w:rPr>
        <w:t>.</w:t>
      </w:r>
      <w:r>
        <w:rPr>
          <w:rStyle w:val="apple-converted-space"/>
          <w:color w:val="000000"/>
        </w:rPr>
        <w:t> </w:t>
      </w:r>
      <w:hyperlink r:id="rId6" w:history="1">
        <w:r w:rsidR="007122CA" w:rsidRPr="00B52130">
          <w:rPr>
            <w:rStyle w:val="Hyperlink"/>
          </w:rPr>
          <w:t>https://doi.org/10.1177/02103702251352765</w:t>
        </w:r>
      </w:hyperlink>
      <w:r w:rsidR="007122CA">
        <w:rPr>
          <w:color w:val="000000"/>
        </w:rPr>
        <w:t xml:space="preserve"> </w:t>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C25"/>
    <w:rsid w:val="0006656E"/>
    <w:rsid w:val="00077286"/>
    <w:rsid w:val="000830B1"/>
    <w:rsid w:val="000C2452"/>
    <w:rsid w:val="000E0F8C"/>
    <w:rsid w:val="001317C5"/>
    <w:rsid w:val="00186C26"/>
    <w:rsid w:val="001F549A"/>
    <w:rsid w:val="0025117A"/>
    <w:rsid w:val="002E084E"/>
    <w:rsid w:val="0030048F"/>
    <w:rsid w:val="003420E3"/>
    <w:rsid w:val="00346537"/>
    <w:rsid w:val="003647ED"/>
    <w:rsid w:val="003F1689"/>
    <w:rsid w:val="00493C82"/>
    <w:rsid w:val="004D0C25"/>
    <w:rsid w:val="004D7ED7"/>
    <w:rsid w:val="00513F1A"/>
    <w:rsid w:val="005926EF"/>
    <w:rsid w:val="007122CA"/>
    <w:rsid w:val="0079520F"/>
    <w:rsid w:val="008806E0"/>
    <w:rsid w:val="008D14C5"/>
    <w:rsid w:val="009548DE"/>
    <w:rsid w:val="009B7B83"/>
    <w:rsid w:val="00A36206"/>
    <w:rsid w:val="00A3705C"/>
    <w:rsid w:val="00B00155"/>
    <w:rsid w:val="00BC4E1E"/>
    <w:rsid w:val="00C01427"/>
    <w:rsid w:val="00C05D26"/>
    <w:rsid w:val="00CA6B71"/>
    <w:rsid w:val="00CE397B"/>
    <w:rsid w:val="00CF31E8"/>
    <w:rsid w:val="00D40C33"/>
    <w:rsid w:val="00DB2493"/>
    <w:rsid w:val="00DD314E"/>
    <w:rsid w:val="00DF1960"/>
    <w:rsid w:val="00DF6874"/>
    <w:rsid w:val="00EF22BE"/>
    <w:rsid w:val="00F828B5"/>
    <w:rsid w:val="00FD2E6E"/>
  </w:rsids>
  <m:mathPr>
    <m:mathFont m:val="Cambria Math"/>
    <m:brkBin m:val="before"/>
    <m:brkBinSub m:val="--"/>
    <m:smallFrac m:val="0"/>
    <m:dispDef/>
    <m:lMargin m:val="0"/>
    <m:rMargin m:val="0"/>
    <m:defJc m:val="centerGroup"/>
    <m:wrapIndent m:val="1440"/>
    <m:intLim m:val="subSup"/>
    <m:naryLim m:val="undOvr"/>
  </m:mathPr>
  <w:themeFontLang w:val="en-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29B6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286"/>
  </w:style>
  <w:style w:type="paragraph" w:styleId="Heading1">
    <w:name w:val="heading 1"/>
    <w:basedOn w:val="Normal"/>
    <w:next w:val="Normal"/>
    <w:link w:val="Heading1Char"/>
    <w:uiPriority w:val="9"/>
    <w:qFormat/>
    <w:rsid w:val="008806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06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806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6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6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6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06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806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6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6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6E0"/>
    <w:rPr>
      <w:rFonts w:eastAsiaTheme="majorEastAsia" w:cstheme="majorBidi"/>
      <w:color w:val="272727" w:themeColor="text1" w:themeTint="D8"/>
    </w:rPr>
  </w:style>
  <w:style w:type="paragraph" w:styleId="Title">
    <w:name w:val="Title"/>
    <w:basedOn w:val="Normal"/>
    <w:next w:val="Normal"/>
    <w:link w:val="TitleChar"/>
    <w:uiPriority w:val="10"/>
    <w:qFormat/>
    <w:rsid w:val="00880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6E0"/>
    <w:pPr>
      <w:spacing w:before="160"/>
      <w:jc w:val="center"/>
    </w:pPr>
    <w:rPr>
      <w:i/>
      <w:iCs/>
      <w:color w:val="404040" w:themeColor="text1" w:themeTint="BF"/>
    </w:rPr>
  </w:style>
  <w:style w:type="character" w:customStyle="1" w:styleId="QuoteChar">
    <w:name w:val="Quote Char"/>
    <w:basedOn w:val="DefaultParagraphFont"/>
    <w:link w:val="Quote"/>
    <w:uiPriority w:val="29"/>
    <w:rsid w:val="008806E0"/>
    <w:rPr>
      <w:i/>
      <w:iCs/>
      <w:color w:val="404040" w:themeColor="text1" w:themeTint="BF"/>
    </w:rPr>
  </w:style>
  <w:style w:type="paragraph" w:styleId="ListParagraph">
    <w:name w:val="List Paragraph"/>
    <w:basedOn w:val="Normal"/>
    <w:uiPriority w:val="34"/>
    <w:qFormat/>
    <w:rsid w:val="008806E0"/>
    <w:pPr>
      <w:ind w:left="720"/>
      <w:contextualSpacing/>
    </w:pPr>
  </w:style>
  <w:style w:type="character" w:styleId="IntenseEmphasis">
    <w:name w:val="Intense Emphasis"/>
    <w:basedOn w:val="DefaultParagraphFont"/>
    <w:uiPriority w:val="21"/>
    <w:qFormat/>
    <w:rsid w:val="008806E0"/>
    <w:rPr>
      <w:i/>
      <w:iCs/>
      <w:color w:val="2F5496" w:themeColor="accent1" w:themeShade="BF"/>
    </w:rPr>
  </w:style>
  <w:style w:type="paragraph" w:styleId="IntenseQuote">
    <w:name w:val="Intense Quote"/>
    <w:basedOn w:val="Normal"/>
    <w:next w:val="Normal"/>
    <w:link w:val="IntenseQuoteChar"/>
    <w:uiPriority w:val="30"/>
    <w:qFormat/>
    <w:rsid w:val="008806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6E0"/>
    <w:rPr>
      <w:i/>
      <w:iCs/>
      <w:color w:val="2F5496" w:themeColor="accent1" w:themeShade="BF"/>
    </w:rPr>
  </w:style>
  <w:style w:type="character" w:styleId="IntenseReference">
    <w:name w:val="Intense Reference"/>
    <w:basedOn w:val="DefaultParagraphFont"/>
    <w:uiPriority w:val="32"/>
    <w:qFormat/>
    <w:rsid w:val="008806E0"/>
    <w:rPr>
      <w:b/>
      <w:bCs/>
      <w:smallCaps/>
      <w:color w:val="2F5496" w:themeColor="accent1" w:themeShade="BF"/>
      <w:spacing w:val="5"/>
    </w:rPr>
  </w:style>
  <w:style w:type="paragraph" w:styleId="EndnoteText">
    <w:name w:val="endnote text"/>
    <w:basedOn w:val="Normal"/>
    <w:link w:val="EndnoteTextChar"/>
    <w:uiPriority w:val="99"/>
    <w:semiHidden/>
    <w:unhideWhenUsed/>
    <w:rsid w:val="00FD2E6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D2E6E"/>
    <w:rPr>
      <w:sz w:val="20"/>
      <w:szCs w:val="20"/>
    </w:rPr>
  </w:style>
  <w:style w:type="character" w:styleId="EndnoteReference">
    <w:name w:val="endnote reference"/>
    <w:basedOn w:val="DefaultParagraphFont"/>
    <w:uiPriority w:val="99"/>
    <w:semiHidden/>
    <w:unhideWhenUsed/>
    <w:rsid w:val="00FD2E6E"/>
    <w:rPr>
      <w:vertAlign w:val="superscript"/>
    </w:rPr>
  </w:style>
  <w:style w:type="paragraph" w:styleId="FootnoteText">
    <w:name w:val="footnote text"/>
    <w:basedOn w:val="Normal"/>
    <w:link w:val="FootnoteTextChar"/>
    <w:uiPriority w:val="99"/>
    <w:semiHidden/>
    <w:unhideWhenUsed/>
    <w:rsid w:val="00FD2E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2E6E"/>
    <w:rPr>
      <w:sz w:val="20"/>
      <w:szCs w:val="20"/>
    </w:rPr>
  </w:style>
  <w:style w:type="character" w:styleId="FootnoteReference">
    <w:name w:val="footnote reference"/>
    <w:basedOn w:val="DefaultParagraphFont"/>
    <w:uiPriority w:val="99"/>
    <w:semiHidden/>
    <w:unhideWhenUsed/>
    <w:rsid w:val="00FD2E6E"/>
    <w:rPr>
      <w:vertAlign w:val="superscript"/>
    </w:rPr>
  </w:style>
  <w:style w:type="paragraph" w:styleId="NormalWeb">
    <w:name w:val="Normal (Web)"/>
    <w:basedOn w:val="Normal"/>
    <w:uiPriority w:val="99"/>
    <w:unhideWhenUsed/>
    <w:rsid w:val="00FD2E6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D2E6E"/>
  </w:style>
  <w:style w:type="character" w:customStyle="1" w:styleId="url">
    <w:name w:val="url"/>
    <w:basedOn w:val="DefaultParagraphFont"/>
    <w:rsid w:val="00FD2E6E"/>
  </w:style>
  <w:style w:type="character" w:styleId="Hyperlink">
    <w:name w:val="Hyperlink"/>
    <w:basedOn w:val="DefaultParagraphFont"/>
    <w:uiPriority w:val="99"/>
    <w:unhideWhenUsed/>
    <w:rsid w:val="00F828B5"/>
    <w:rPr>
      <w:color w:val="0563C1" w:themeColor="hyperlink"/>
      <w:u w:val="single"/>
    </w:rPr>
  </w:style>
  <w:style w:type="character" w:styleId="UnresolvedMention">
    <w:name w:val="Unresolved Mention"/>
    <w:basedOn w:val="DefaultParagraphFont"/>
    <w:uiPriority w:val="99"/>
    <w:semiHidden/>
    <w:unhideWhenUsed/>
    <w:rsid w:val="00F828B5"/>
    <w:rPr>
      <w:color w:val="605E5C"/>
      <w:shd w:val="clear" w:color="auto" w:fill="E1DFDD"/>
    </w:rPr>
  </w:style>
  <w:style w:type="character" w:styleId="FollowedHyperlink">
    <w:name w:val="FollowedHyperlink"/>
    <w:basedOn w:val="DefaultParagraphFont"/>
    <w:uiPriority w:val="99"/>
    <w:semiHidden/>
    <w:unhideWhenUsed/>
    <w:rsid w:val="00F828B5"/>
    <w:rPr>
      <w:color w:val="954F72" w:themeColor="followedHyperlink"/>
      <w:u w:val="single"/>
    </w:rPr>
  </w:style>
  <w:style w:type="paragraph" w:customStyle="1" w:styleId="isselectedend">
    <w:name w:val="isselectedend"/>
    <w:basedOn w:val="Normal"/>
    <w:rsid w:val="009548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48DE"/>
    <w:rPr>
      <w:b/>
      <w:bCs/>
    </w:rPr>
  </w:style>
  <w:style w:type="character" w:styleId="CommentReference">
    <w:name w:val="annotation reference"/>
    <w:basedOn w:val="DefaultParagraphFont"/>
    <w:uiPriority w:val="99"/>
    <w:semiHidden/>
    <w:unhideWhenUsed/>
    <w:rsid w:val="004D0C25"/>
    <w:rPr>
      <w:sz w:val="16"/>
      <w:szCs w:val="16"/>
    </w:rPr>
  </w:style>
  <w:style w:type="paragraph" w:styleId="CommentText">
    <w:name w:val="annotation text"/>
    <w:basedOn w:val="Normal"/>
    <w:link w:val="CommentTextChar"/>
    <w:uiPriority w:val="99"/>
    <w:semiHidden/>
    <w:unhideWhenUsed/>
    <w:rsid w:val="004D0C25"/>
    <w:pPr>
      <w:spacing w:line="240" w:lineRule="auto"/>
    </w:pPr>
    <w:rPr>
      <w:sz w:val="20"/>
      <w:szCs w:val="20"/>
    </w:rPr>
  </w:style>
  <w:style w:type="character" w:customStyle="1" w:styleId="CommentTextChar">
    <w:name w:val="Comment Text Char"/>
    <w:basedOn w:val="DefaultParagraphFont"/>
    <w:link w:val="CommentText"/>
    <w:uiPriority w:val="99"/>
    <w:semiHidden/>
    <w:rsid w:val="004D0C25"/>
    <w:rPr>
      <w:sz w:val="20"/>
      <w:szCs w:val="20"/>
    </w:rPr>
  </w:style>
  <w:style w:type="paragraph" w:styleId="CommentSubject">
    <w:name w:val="annotation subject"/>
    <w:basedOn w:val="CommentText"/>
    <w:next w:val="CommentText"/>
    <w:link w:val="CommentSubjectChar"/>
    <w:uiPriority w:val="99"/>
    <w:semiHidden/>
    <w:unhideWhenUsed/>
    <w:rsid w:val="004D0C25"/>
    <w:rPr>
      <w:b/>
      <w:bCs/>
    </w:rPr>
  </w:style>
  <w:style w:type="character" w:customStyle="1" w:styleId="CommentSubjectChar">
    <w:name w:val="Comment Subject Char"/>
    <w:basedOn w:val="CommentTextChar"/>
    <w:link w:val="CommentSubject"/>
    <w:uiPriority w:val="99"/>
    <w:semiHidden/>
    <w:rsid w:val="004D0C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8211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alnet.unirioja.es/servlet/articulo?codigo=621526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dalyc.org/pdf/788/78828864006.pdf" TargetMode="External"/><Relationship Id="rId12" Type="http://schemas.openxmlformats.org/officeDocument/2006/relationships/hyperlink" Target="https://doi.org/10.1177/02103702251352765"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tribunalconstitucional.gob.do/consultas/secretar&#237;a/sentencias/tc046824/" TargetMode="External"/><Relationship Id="rId5" Type="http://schemas.openxmlformats.org/officeDocument/2006/relationships/footnotes" Target="footnotes.xml"/><Relationship Id="rId10" Type="http://schemas.openxmlformats.org/officeDocument/2006/relationships/hyperlink" Target="https://www.tribunalconstitucional.gob.do/consultas/secretar&#237;a/sentencias/tc004212/" TargetMode="External"/><Relationship Id="rId4" Type="http://schemas.openxmlformats.org/officeDocument/2006/relationships/webSettings" Target="webSettings.xml"/><Relationship Id="rId9" Type="http://schemas.openxmlformats.org/officeDocument/2006/relationships/hyperlink" Target="https://dspace.uniandes.edu.ec/bitstream/123456789/18824/1/UB-DER-EAC-033-2024.pdf"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dspace.uniandes.edu.ec/bitstream/123456789/18824/1/UB-DER-EAC-033-2024.pdf" TargetMode="External"/><Relationship Id="rId2" Type="http://schemas.openxmlformats.org/officeDocument/2006/relationships/hyperlink" Target="https://dialnet.unirioja.es/servlet/articulo?codigo=6215262" TargetMode="External"/><Relationship Id="rId1" Type="http://schemas.openxmlformats.org/officeDocument/2006/relationships/hyperlink" Target="https://www.redalyc.org/pdf/788/78828864006.pdf" TargetMode="External"/><Relationship Id="rId6" Type="http://schemas.openxmlformats.org/officeDocument/2006/relationships/hyperlink" Target="https://doi.org/10.1177/02103702251352765" TargetMode="External"/><Relationship Id="rId5" Type="http://schemas.openxmlformats.org/officeDocument/2006/relationships/hyperlink" Target="https://www.tribunalconstitucional.gob.do/consultas/secretar&#237;a/sentencias/tc046824/" TargetMode="External"/><Relationship Id="rId4" Type="http://schemas.openxmlformats.org/officeDocument/2006/relationships/hyperlink" Target="https://www.tribunalconstitucional.gob.do/consultas/secretar&#237;a/sentencias/tc0042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Fer131</b:Tag>
    <b:SourceType>InternetSite</b:SourceType>
    <b:Guid>{EC79D5D0-D9C8-B54E-BBF8-E1B748891D94}</b:Guid>
    <b:Author>
      <b:Author>
        <b:NameList>
          <b:Person>
            <b:Last>Linares</b:Last>
            <b:First>Fernando</b:First>
            <b:Middle>Miró</b:Middle>
          </b:Person>
        </b:NameList>
      </b:Author>
    </b:Author>
    <b:Title>redalyc</b:Title>
    <b:URL>https://www.redalyc.org/pdf/788/78828864006.pdf</b:URL>
    <b:Year>2013</b:Year>
    <b:Month>Junio</b:Month>
    <b:YearAccessed>2026</b:YearAccessed>
    <b:MonthAccessed>Junio</b:MonthAccessed>
    <b:DayAccessed>28</b:DayAccessed>
    <b:RefOrder>1</b:RefOrder>
  </b:Source>
</b:Sources>
</file>

<file path=customXml/itemProps1.xml><?xml version="1.0" encoding="utf-8"?>
<ds:datastoreItem xmlns:ds="http://schemas.openxmlformats.org/officeDocument/2006/customXml" ds:itemID="{50D40DB6-E006-B14E-8804-64E4B54AC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Ensayo Corregido. Minerva Reyes..dotx</Template>
  <TotalTime>0</TotalTime>
  <Pages>9</Pages>
  <Words>2870</Words>
  <Characters>16362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MINERVA MARIA REYES MONTILLA</cp:lastModifiedBy>
  <cp:revision>2</cp:revision>
  <dcterms:created xsi:type="dcterms:W3CDTF">2026-07-21T20:12:00Z</dcterms:created>
  <dcterms:modified xsi:type="dcterms:W3CDTF">2026-07-21T20:12:00Z</dcterms:modified>
</cp:coreProperties>
</file>