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120D" w14:textId="77777777" w:rsidR="00BB70C1" w:rsidRDefault="0049229A">
      <w:pPr>
        <w:spacing w:after="60"/>
        <w:rPr>
          <w:b/>
          <w:bCs/>
        </w:rPr>
      </w:pPr>
      <w:r>
        <w:rPr>
          <w:b/>
          <w:bCs/>
        </w:rPr>
        <w:t xml:space="preserve">LA PRISIÓN PREVENTIVA COMO PENA ANTICIPADA EN EL DISTRITO </w:t>
      </w:r>
    </w:p>
    <w:p w14:paraId="4769B3AA" w14:textId="7C7B00DD" w:rsidR="00780822" w:rsidRDefault="0049229A">
      <w:pPr>
        <w:spacing w:after="60"/>
      </w:pPr>
      <w:r>
        <w:rPr>
          <w:b/>
          <w:bCs/>
        </w:rPr>
        <w:t>NACIONAL (2024-2026)</w:t>
      </w:r>
    </w:p>
    <w:p w14:paraId="3D1E5EA5" w14:textId="77777777" w:rsidR="00780822" w:rsidRPr="00090F6F" w:rsidRDefault="0049229A">
      <w:pPr>
        <w:spacing w:after="240"/>
        <w:rPr>
          <w:lang w:val="en-US"/>
        </w:rPr>
      </w:pPr>
      <w:r w:rsidRPr="00090F6F">
        <w:rPr>
          <w:i/>
          <w:iCs/>
          <w:lang w:val="en-US"/>
        </w:rPr>
        <w:t>Pretrial Detention as an Anticipated Punishment in the National District (2024-2026)</w:t>
      </w:r>
    </w:p>
    <w:p w14:paraId="28C7B895" w14:textId="77777777" w:rsidR="00F766DB" w:rsidRDefault="0049229A">
      <w:pPr>
        <w:spacing w:after="240"/>
        <w:rPr>
          <w:b/>
          <w:bCs/>
        </w:rPr>
      </w:pPr>
      <w:r>
        <w:rPr>
          <w:b/>
          <w:bCs/>
        </w:rPr>
        <w:t>Oscairy María Portes Sánchez</w:t>
      </w:r>
    </w:p>
    <w:p w14:paraId="5121AA45" w14:textId="15EFBA38" w:rsidR="00780822" w:rsidRPr="00F766DB" w:rsidRDefault="0049229A">
      <w:pPr>
        <w:spacing w:after="240"/>
      </w:pPr>
      <w:r w:rsidRPr="00F766DB">
        <w:rPr>
          <w:b/>
          <w:bCs/>
        </w:rPr>
        <w:t xml:space="preserve"> </w:t>
      </w:r>
      <w:r w:rsidR="00F766DB" w:rsidRPr="00F766DB">
        <w:t>Estudiante de la carrera de Derecho, Escuela de Humanidades y Ciencias Sociales, Pontificia Universidad Católica Madre y Maestra (PUCMM), Campus Santo Tomás de Aquino, Santo Domingo, República Dominicana. Trabajo elaborado para la asignatura Métodos de Investigación (DER-235-200), bajo la asesoría metodológica de Ana Magnolia Méndez Cabrera.</w:t>
      </w:r>
    </w:p>
    <w:p w14:paraId="40641603" w14:textId="77777777" w:rsidR="00F766DB" w:rsidRDefault="00F766DB">
      <w:pPr>
        <w:spacing w:after="240"/>
      </w:pPr>
    </w:p>
    <w:p w14:paraId="138DFA1A" w14:textId="77777777" w:rsidR="00780822" w:rsidRDefault="0049229A">
      <w:pPr>
        <w:spacing w:before="120" w:after="100"/>
      </w:pPr>
      <w:r>
        <w:rPr>
          <w:b/>
          <w:bCs/>
        </w:rPr>
        <w:t>RESUMEN</w:t>
      </w:r>
    </w:p>
    <w:p w14:paraId="48C0738A" w14:textId="77777777" w:rsidR="00780822" w:rsidRDefault="0049229A">
      <w:pPr>
        <w:spacing w:after="200" w:line="360" w:lineRule="auto"/>
        <w:jc w:val="both"/>
      </w:pPr>
      <w:r>
        <w:rPr>
          <w:i/>
          <w:iCs/>
        </w:rPr>
        <w:t xml:space="preserve">Este ensayo analiza la aplicación de la prisión preventiva en el Distrito Nacional de la República Dominicana durante el período 2024-2026, partiendo de la premisa de que dicha medida ha desvirtuado parcialmente su carácter cautelar y excepcional, operando en determinados casos como una forma de sanción anticipada incompatible con la presunción de inocencia y el debido proceso. El análisis se desarrolla mediante la revisión doctrinal y normativa de la legislación procesal penal dominicana —en particular el </w:t>
      </w:r>
      <w:r>
        <w:rPr>
          <w:i/>
          <w:iCs/>
        </w:rPr>
        <w:t>Código Procesal Penal y su reciente reforma integral—, contrastada con los aportes teóricos de autores como Luigi Ferrajoli, Alberto Binder y Gustavo Beade, así como con estudios previos sobre la práctica judicial dominicana. Los resultados muestran que la desnaturalización de la prisión preventiva responde a tres factores que se refuerzan entre sí: criterios judiciales que se alejan del riesgo procesal probado, un marco legal correcto sobre el papel pero vulnerable a la presión social, y una tensión consta</w:t>
      </w:r>
      <w:r>
        <w:rPr>
          <w:i/>
          <w:iCs/>
        </w:rPr>
        <w:t>nte con la presunción de inocencia que la propia ley reconoce como riesgo. Se concluye que fortalecer los mecanismos de control judicial —en particular la revisión periódica y motivada de la medida— resulta más urgente que aprobar nuevas reformas legales, dado que las leyes bien redactadas no bastan si los jueces no las aplican con rigor.</w:t>
      </w:r>
    </w:p>
    <w:p w14:paraId="1A1D4289" w14:textId="77777777" w:rsidR="00780822" w:rsidRDefault="0049229A">
      <w:pPr>
        <w:spacing w:before="100" w:after="240"/>
      </w:pPr>
      <w:r>
        <w:rPr>
          <w:b/>
          <w:bCs/>
        </w:rPr>
        <w:t xml:space="preserve">Palabras claves: </w:t>
      </w:r>
      <w:r>
        <w:t>PRISIÓN PREVENTIVA - PRESUNCIÓN DE INOCENCIA - SANCIÓN ANTICIPADA - DEBIDO PROCESO - DISTRITO NACIONAL</w:t>
      </w:r>
    </w:p>
    <w:p w14:paraId="6F8E4D98" w14:textId="77777777" w:rsidR="00780822" w:rsidRPr="00090F6F" w:rsidRDefault="0049229A">
      <w:pPr>
        <w:spacing w:before="120" w:after="100"/>
        <w:rPr>
          <w:lang w:val="en-US"/>
        </w:rPr>
      </w:pPr>
      <w:r w:rsidRPr="00090F6F">
        <w:rPr>
          <w:b/>
          <w:bCs/>
          <w:lang w:val="en-US"/>
        </w:rPr>
        <w:t>ABSTRACT</w:t>
      </w:r>
    </w:p>
    <w:p w14:paraId="4143B987" w14:textId="77777777" w:rsidR="00780822" w:rsidRPr="00090F6F" w:rsidRDefault="0049229A">
      <w:pPr>
        <w:spacing w:after="200" w:line="360" w:lineRule="auto"/>
        <w:jc w:val="both"/>
        <w:rPr>
          <w:lang w:val="en-US"/>
        </w:rPr>
      </w:pPr>
      <w:r w:rsidRPr="00090F6F">
        <w:rPr>
          <w:i/>
          <w:iCs/>
          <w:lang w:val="en-US"/>
        </w:rPr>
        <w:t>This essay examines the application of pretrial detention in the National District of the Dominican Republic during the 2024-2026 period, starting from the premise that this measure has partially distorted its precautionary and exceptional nature, operating in certain cases as a form of anticipated punishment incompatible with the presumption of innocence and due process. The analysis is carried out through a doctrinal and normative review of Dominican criminal procedural legislation —particularly the Crimi</w:t>
      </w:r>
      <w:r w:rsidRPr="00090F6F">
        <w:rPr>
          <w:i/>
          <w:iCs/>
          <w:lang w:val="en-US"/>
        </w:rPr>
        <w:t>nal Procedure Code and its recent comprehensive reform— contrasted with the theoretical contributions of authors such as Luigi Ferrajoli, Alberto Binder, and Gustavo Beade, as well as previous studies on Dominican judicial practice. The results show that the distortion of pretrial detention responds to three mutually reinforcing factors: judicial criteria that depart from proven procedural risk, a legal framework that is sound on paper but vulnerable to social pressure, and a constant tension with the presu</w:t>
      </w:r>
      <w:r w:rsidRPr="00090F6F">
        <w:rPr>
          <w:i/>
          <w:iCs/>
          <w:lang w:val="en-US"/>
        </w:rPr>
        <w:t>mption of innocence that the law itself recognizes as a risk. It is concluded that strengthening judicial control mechanisms —particularly the periodic and reasoned review of the measure— is more urgent than passing new legal reforms, since well-drafted laws are not enough if judges do not apply them rigorously.</w:t>
      </w:r>
    </w:p>
    <w:p w14:paraId="5E314CE1" w14:textId="77777777" w:rsidR="00780822" w:rsidRDefault="0049229A">
      <w:pPr>
        <w:spacing w:before="100" w:after="240"/>
        <w:rPr>
          <w:lang w:val="en-US"/>
        </w:rPr>
      </w:pPr>
      <w:r w:rsidRPr="00090F6F">
        <w:rPr>
          <w:b/>
          <w:bCs/>
          <w:lang w:val="en-US"/>
        </w:rPr>
        <w:t xml:space="preserve">Key Word: </w:t>
      </w:r>
      <w:r w:rsidRPr="00090F6F">
        <w:rPr>
          <w:lang w:val="en-US"/>
        </w:rPr>
        <w:t>PRETRIAL DETENTION - PRESUMPTION OF INNOCENCE - ANTICIPATED PUNISHMENT - DUE PROCESS - NATIONAL DISTRICT</w:t>
      </w:r>
    </w:p>
    <w:p w14:paraId="01BCEAE5" w14:textId="77777777" w:rsidR="00BB70C1" w:rsidRDefault="00BB70C1">
      <w:pPr>
        <w:spacing w:before="100" w:after="240"/>
        <w:rPr>
          <w:lang w:val="en-US"/>
        </w:rPr>
      </w:pPr>
    </w:p>
    <w:p w14:paraId="61252896" w14:textId="77777777" w:rsidR="00BB70C1" w:rsidRDefault="00BB70C1">
      <w:pPr>
        <w:spacing w:before="100" w:after="240"/>
        <w:rPr>
          <w:lang w:val="en-US"/>
        </w:rPr>
      </w:pPr>
    </w:p>
    <w:p w14:paraId="473D1F73" w14:textId="77777777" w:rsidR="00BB70C1" w:rsidRDefault="00BB70C1">
      <w:pPr>
        <w:spacing w:before="100" w:after="240"/>
        <w:rPr>
          <w:lang w:val="en-US"/>
        </w:rPr>
      </w:pPr>
    </w:p>
    <w:p w14:paraId="1B781DED" w14:textId="77777777" w:rsidR="00BB70C1" w:rsidRDefault="00BB70C1">
      <w:pPr>
        <w:spacing w:before="100" w:after="240"/>
        <w:rPr>
          <w:lang w:val="en-US"/>
        </w:rPr>
      </w:pPr>
    </w:p>
    <w:p w14:paraId="0973CBF1" w14:textId="77777777" w:rsidR="00BB70C1" w:rsidRDefault="00BB70C1">
      <w:pPr>
        <w:spacing w:before="100" w:after="240"/>
        <w:rPr>
          <w:lang w:val="en-US"/>
        </w:rPr>
      </w:pPr>
    </w:p>
    <w:p w14:paraId="1B762D3D" w14:textId="77777777" w:rsidR="00BB70C1" w:rsidRDefault="00BB70C1">
      <w:pPr>
        <w:spacing w:before="100" w:after="240"/>
        <w:rPr>
          <w:lang w:val="en-US"/>
        </w:rPr>
      </w:pPr>
    </w:p>
    <w:p w14:paraId="156D6772" w14:textId="77777777" w:rsidR="00BB70C1" w:rsidRDefault="00BB70C1">
      <w:pPr>
        <w:spacing w:before="100" w:after="240"/>
        <w:rPr>
          <w:lang w:val="en-US"/>
        </w:rPr>
      </w:pPr>
    </w:p>
    <w:p w14:paraId="52EC14A0" w14:textId="77777777" w:rsidR="00BB70C1" w:rsidRDefault="00BB70C1">
      <w:pPr>
        <w:spacing w:before="100" w:after="240"/>
        <w:rPr>
          <w:lang w:val="en-US"/>
        </w:rPr>
      </w:pPr>
    </w:p>
    <w:p w14:paraId="44AA665F" w14:textId="77777777" w:rsidR="00BB70C1" w:rsidRDefault="00BB70C1">
      <w:pPr>
        <w:spacing w:before="100" w:after="240"/>
        <w:rPr>
          <w:lang w:val="en-US"/>
        </w:rPr>
      </w:pPr>
    </w:p>
    <w:p w14:paraId="4ABD7D53" w14:textId="77777777" w:rsidR="00BB70C1" w:rsidRDefault="00BB70C1">
      <w:pPr>
        <w:spacing w:before="100" w:after="240"/>
        <w:rPr>
          <w:lang w:val="en-US"/>
        </w:rPr>
      </w:pPr>
    </w:p>
    <w:p w14:paraId="0A207945" w14:textId="77777777" w:rsidR="00BB70C1" w:rsidRDefault="00BB70C1">
      <w:pPr>
        <w:spacing w:before="100" w:after="240"/>
        <w:rPr>
          <w:lang w:val="en-US"/>
        </w:rPr>
      </w:pPr>
    </w:p>
    <w:p w14:paraId="121DE5AE" w14:textId="77777777" w:rsidR="00BB70C1" w:rsidRDefault="00BB70C1">
      <w:pPr>
        <w:spacing w:before="100" w:after="240"/>
        <w:rPr>
          <w:lang w:val="en-US"/>
        </w:rPr>
      </w:pPr>
    </w:p>
    <w:p w14:paraId="60AC46CA" w14:textId="77777777" w:rsidR="00BB70C1" w:rsidRDefault="00BB70C1">
      <w:pPr>
        <w:spacing w:before="100" w:after="240"/>
        <w:rPr>
          <w:lang w:val="en-US"/>
        </w:rPr>
      </w:pPr>
    </w:p>
    <w:p w14:paraId="322DAB2A" w14:textId="77777777" w:rsidR="00BB70C1" w:rsidRDefault="00BB70C1">
      <w:pPr>
        <w:spacing w:before="100" w:after="240"/>
        <w:rPr>
          <w:lang w:val="en-US"/>
        </w:rPr>
      </w:pPr>
    </w:p>
    <w:p w14:paraId="77C045BB" w14:textId="77777777" w:rsidR="00BB70C1" w:rsidRPr="00090F6F" w:rsidRDefault="00BB70C1">
      <w:pPr>
        <w:spacing w:before="100" w:after="240"/>
        <w:rPr>
          <w:lang w:val="en-US"/>
        </w:rPr>
      </w:pPr>
    </w:p>
    <w:p w14:paraId="245F2F9A" w14:textId="77777777" w:rsidR="00780822" w:rsidRDefault="0049229A">
      <w:pPr>
        <w:spacing w:after="200" w:line="360" w:lineRule="auto"/>
        <w:jc w:val="both"/>
      </w:pPr>
      <w:r>
        <w:t>La prisión preventiva constituye la medida de coerción personal más severa prevista por el ordenamiento procesal penal dominicano, en tanto conlleva la privación de la libertad ambulatoria de una persona que aún no ha sido condenada mediante sentencia firme. Su finalidad, en teoría, es estrictamente cautelar: garantizar el desarrollo del proceso penal cuando existan riesgos reales de fuga u obstaculización. Sin embargo, en el Distrito Nacional se observa una aplicación recurrente de esta medida —tendencia q</w:t>
      </w:r>
      <w:r>
        <w:t>ue, como se documenta más adelante a partir de estudios sobre la práctica judicial dominicana, excede la frecuencia prevista originalmente por el legislador— que genera dudas razonables sobre el respeto efectivo de dicha naturaleza cautelar. El problema de investigación parte, precisamente, de la posibilidad de que la prisión preventiva se esté utilizando con fines distintos a los que la justifican normativamente, aproximándose a lo que la doctrina denomina una “sanción anticipada”: la aplicación de facto d</w:t>
      </w:r>
      <w:r>
        <w:t>e una privación de libertad con efectos punitivos antes de que exista una declaración formal de culpabilidad, noción que se desarrolla con mayor detalle a lo largo del ensayo. La importancia de esta problemática radica en que afecta el ejercicio efectivo de derechos fundamentales reconocidos por la Constitución dominicana y por los instrumentos internacionales de derechos humanos, en particular la presunción de inocencia, el debido proceso y la libertad personal. Se sostiene, como tesis central de este ensa</w:t>
      </w:r>
      <w:r>
        <w:t xml:space="preserve">yo, que la prisión preventiva en el Distrito Nacional ha desvirtuado parcialmente su carácter cautelar y excepcional, operando en determinados casos como una forma de pena anticipada incompatible con dichas garantías. Existe, sin embargo, una postura doctrinal que admite la compatibilidad entre la prisión preventiva y la presunción de inocencia cuando concurren estrictamente los presupuestos legales que la habilitan; como se argumenta a lo largo del trabajo, esa compatibilidad se pierde precisamente cuando </w:t>
      </w:r>
      <w:r>
        <w:t>dichos presupuestos dejan de verificarse caso por caso. En consecuencia, el objetivo general de este trabajo consiste en analizar dicha aplicación para determinar el alcance real de esa desnaturalización, atendiendo a tres ejes principales: los criterios judiciales de imposición, el marco jurídico vigente y su relación con la presunción de inocencia.</w:t>
      </w:r>
    </w:p>
    <w:p w14:paraId="00353463" w14:textId="77777777" w:rsidR="00BB70C1" w:rsidRDefault="00BB70C1">
      <w:pPr>
        <w:spacing w:after="200" w:line="360" w:lineRule="auto"/>
        <w:jc w:val="both"/>
      </w:pPr>
    </w:p>
    <w:p w14:paraId="4FFF6A49" w14:textId="77777777" w:rsidR="00BB70C1" w:rsidRDefault="00BB70C1">
      <w:pPr>
        <w:spacing w:after="200" w:line="360" w:lineRule="auto"/>
        <w:jc w:val="both"/>
      </w:pPr>
    </w:p>
    <w:p w14:paraId="72B1F4F1" w14:textId="77777777" w:rsidR="00780822" w:rsidRDefault="0049229A">
      <w:pPr>
        <w:spacing w:after="200" w:line="360" w:lineRule="auto"/>
        <w:jc w:val="both"/>
      </w:pPr>
      <w:r>
        <w:t>Los tribunales del Distrito Nacional suelen imponer la prisión preventiva fijándose más en qué tan grave es el delito y en la reacción social que genera, que en si realmente existe riesgo de que el imputado se fugue o entorpezca el proceso, una tendencia que, según se detalla más abajo, ha sido documentada empíricamente y no responde a casos aislados. Esto tiene consecuencias importantes: cuando un juez decide con base en lo “peligroso” que parece el acusado, en lugar de un riesgo procesal comprobado, la pr</w:t>
      </w:r>
      <w:r>
        <w:t>isión preventiva deja de ser una herramienta cautelar y empieza a parecerse a un castigo que se aplica antes de tiempo. Cabe reconocer, sin embargo, que parte de la doctrina admite la legitimidad de la prisión preventiva cuando el riesgo procesal se encuentra debidamente acreditado; el problema surge, precisamente, cuando ese estándar probatorio se sustituye por apreciaciones subjetivas sobre la peligrosidad del imputado. Ferrajoli describe cómo, en contextos donde la presunción de inocencia se debilita —co</w:t>
      </w:r>
      <w:r>
        <w:t>mo ocurrió bajo el fascismo italiano—, la prisión preventiva puede llegar a asumir la fisonomía de una medida de prevención frente a los “peligrosos” y los sospechosos, convirtiéndose en una ejecución provisional o anticipada de la pena.</w:t>
      </w:r>
      <w:r>
        <w:rPr>
          <w:rStyle w:val="Refdenotaalpie"/>
        </w:rPr>
        <w:footnoteReference w:id="1"/>
      </w:r>
      <w:r>
        <w:t xml:space="preserve"> El propio Ferrajoli va más allá al calificar de “patético sofisma” el intento de reducir la prisión preventiva a una medida de naturaleza meramente procesal, pues sostiene que es precisamente esa ficción conceptual la que ha permitido su extensión patológica en la práctica judicial.</w:t>
      </w:r>
      <w:r>
        <w:rPr>
          <w:rStyle w:val="Refdenotaalpie"/>
        </w:rPr>
        <w:footnoteReference w:id="2"/>
      </w:r>
      <w:r>
        <w:t xml:space="preserve"> Esa advertencia histórica resulta útil para pensar el caso dominicano, pues, al igual que en el contexto italiano descrito por Ferrajoli, el debilitamiento de los criterios de excepcionalidad crea condiciones propicias para que la prisión preventiva sea reinterpretada como una herramienta de defensa social antes que como una medida procesal, lo que permite trazar un paralelismo funcional entre ambos contextos, más allá de sus diferencias históricas y políticas. Beade explica que el llamado “populismo penal</w:t>
      </w:r>
      <w:r>
        <w:t>” surge cuando un reclamo social, amplificado por los medios de comunicación tras un delito mediático, termina presionando a jueces y políticos para que respondan con mano dura, muchas veces sin detenerse a evaluar si esa respuesta respeta los derechos fundamentales del imputado. El propio Beade advierte que este tipo de legislación de corte punitivista suele traducirse, en la práctica, en una menor protección procesal para los sospechosos y en un incremento acelerado de la población privada de libertad, si</w:t>
      </w:r>
      <w:r>
        <w:t>n que ello se traduzca necesariamente en mayor seguridad ciudadana.</w:t>
      </w:r>
      <w:r>
        <w:rPr>
          <w:rStyle w:val="Refdenotaalpie"/>
        </w:rPr>
        <w:footnoteReference w:id="3"/>
      </w:r>
      <w:r>
        <w:t xml:space="preserve"> Un estudio sobre tribunales dominicanos confirma que esto no es solo una preocupación teórica, al identificar que la excepcionalidad prevista en la norma no se traduce, en la práctica, en un uso restringido de la medida, sino en una aplicación generalizada que termina por convertirla en la respuesta habitual del sistema: la prisión preventiva se aplica con una frecuencia mayor a la que el legislador previó originalmente.</w:t>
      </w:r>
      <w:r>
        <w:rPr>
          <w:rStyle w:val="Refdenotaalpie"/>
        </w:rPr>
        <w:footnoteReference w:id="4"/>
      </w:r>
      <w:r>
        <w:t xml:space="preserve"> Por eso, se considera que sigue existiendo una distancia clara entre lo que dice la ley —que exige un riesgo procesal probado— y lo que realmente pasa en los tribunales, donde otros factores terminan pesando más.</w:t>
      </w:r>
    </w:p>
    <w:p w14:paraId="300EC520" w14:textId="77777777" w:rsidR="00780822" w:rsidRDefault="0049229A">
      <w:pPr>
        <w:spacing w:after="200" w:line="360" w:lineRule="auto"/>
        <w:jc w:val="both"/>
      </w:pPr>
      <w:r>
        <w:t>El marco jurídico dominicano —concretamente, los artículos 15 y 16 del Código Procesal Penal, que consagran el carácter excepcional de la prisión preventiva— trata, al menos sobre el papel, esta medida como un recurso que solo debería usarse cuando no queda otra opción. El problema es que, en la práctica diaria de los tribunales, eso no siempre se cumple. Merán Ramírez explica que la facultad del juez para imponer esta medida no constituye una actuación arbitraria, sino una prerrogativa orientada a hacer ef</w:t>
      </w:r>
      <w:r>
        <w:t>ectiva la actuación de la justicia; sin embargo, precisa que esa facultad no es ilimitada, pues está condicionada por la Constitución y por los tratados internacionales que protegen los derechos fundamentales de la persona.</w:t>
      </w:r>
      <w:r>
        <w:rPr>
          <w:rStyle w:val="Refdenotaalpie"/>
        </w:rPr>
        <w:footnoteReference w:id="5"/>
      </w:r>
      <w:r>
        <w:t xml:space="preserve"> Binder muestra, a partir de la experiencia de varios países de la región —como El Salvador, Argentina y Bolivia—, que incluso cuando una reforma legal logra reducir el uso de la prisión preventiva, ese avance suele ser temporal: tarde o temprano el sistema reacciona endureciendo otra vez la legislación, o los jueces cambian su forma de decidir presionados por la opinión pública.</w:t>
      </w:r>
      <w:r>
        <w:rPr>
          <w:rStyle w:val="Refdenotaalpie"/>
        </w:rPr>
        <w:footnoteReference w:id="6"/>
      </w:r>
      <w:r>
        <w:t xml:space="preserve"> El propio Código Procesal Penal dominicano es explícito al respecto: establece que las medidas de coerción restrictivas de la libertad tienen carácter excepcional y deben ser proporcionales al peligro que buscan resguardar, y precisa además que la prisión preventiva está sujeta a un límite temporal razonable, precisamente para evitar que se convierta en una pena anticipada.</w:t>
      </w:r>
      <w:r>
        <w:rPr>
          <w:rStyle w:val="Refdenotaalpie"/>
        </w:rPr>
        <w:footnoteReference w:id="7"/>
      </w:r>
      <w:r>
        <w:t xml:space="preserve"> Resulta significativo que esta misma redacción se haya mantenido casi intacta en la reciente reforma integral del proceso penal, lo cual resulta relevante para esta investigación porque descarta que el problema identificado se origine en una laguna o defecto reciente de la legislación: el legislador tuvo la oportunidad de modificar el estándar y optó por mantenerlo, lo que confirma que el problema no radica en el texto de la ley, sino en su aplicación cotidiana.</w:t>
      </w:r>
      <w:r>
        <w:rPr>
          <w:rStyle w:val="Refdenotaalpie"/>
        </w:rPr>
        <w:footnoteReference w:id="8"/>
      </w:r>
      <w:r>
        <w:t xml:space="preserve"> Cabe matizar, no obstante, que algunas disposiciones —como la indeterminación de ciertos criterios para valorar el riesgo procesal— pueden generar dificultades interpretativas que facilitan, aunque no justifican, esa desviación práctica. Por eso, se considera que, si no cambia la forma en que los jueces aplican estos criterios en el día a día, las reformas legales más recientes corren el mismo riesgo que ya se ha visto en esos otros países de la región: terminar revertidas por la presión social, en lugar d</w:t>
      </w:r>
      <w:r>
        <w:t>e consolidarse con el tiempo.</w:t>
      </w:r>
    </w:p>
    <w:p w14:paraId="41AD34F7" w14:textId="77777777" w:rsidR="00780822" w:rsidRDefault="0049229A">
      <w:pPr>
        <w:spacing w:after="200" w:line="360" w:lineRule="auto"/>
        <w:jc w:val="both"/>
      </w:pPr>
      <w:r>
        <w:t>Finalmente, se plantea que la aplicación extendida de la prisión preventiva en el Distrito Nacional resulta, en ciertos casos, incompatible con la presunción de inocencia y el debido proceso, específicamente cuando se impone sin verificación individualizada del riesgo procesal, se prolonga más allá de un plazo razonable, o se fundamenta en la gravedad del delito antes que en un peligro procesal probado. Esto importa porque ambas garantías son pilares del proceso penal democrático: mientras no exista una sen</w:t>
      </w:r>
      <w:r>
        <w:t>tencia firme, corresponde al órgano acusador demostrar la culpabilidad, y no al imputado demostrar su inocencia. Ferrajoli explica que esta garantía constituye, en sus propias palabras, la “primera y fundamental garantía que el procedimiento asegura al ciudadano”, una presunción que solo cede ante prueba en contrario.</w:t>
      </w:r>
      <w:r>
        <w:rPr>
          <w:rStyle w:val="Refdenotaalpie"/>
        </w:rPr>
        <w:footnoteReference w:id="9"/>
      </w:r>
      <w:r>
        <w:t xml:space="preserve"> Piñeyro Pellerano sostiene, en el ámbito dominicano, que la prisión preventiva es una medida secundaria cuya existencia depende del proceso penal, mientras que la presunción de inocencia es un derecho fundamental autónomo; por ello, cuando la prisión preventiva no cumple los requisitos y principios que la legitiman, deja de ser una medida cautelar para convertirse en una sanción anticipada de la pena, lo que constituiría una violación directa al principio constitucional.</w:t>
      </w:r>
      <w:r>
        <w:rPr>
          <w:rStyle w:val="Refdenotaalpie"/>
        </w:rPr>
        <w:footnoteReference w:id="10"/>
      </w:r>
      <w:r>
        <w:t xml:space="preserve"> Ya el propio Código Procesal Penal, en sus artículos 15 y 16, reconoce este mismo riesgo al advertir expresamente contra que la prisión preventiva se convierta en una pena anticipada. Existe también una posición según la cual el problema de fondo no residiría en la prisión preventiva como institución, sino en la duración excesiva del proceso penal en su conjunto; sin embargo, esa lectura no exime de responsabilidad a la prisión preventiva, en tanto es precisamente su prolongación en el tiempo la que termin</w:t>
      </w:r>
      <w:r>
        <w:t>a por convertirla, en los hechos, en una sanción anticipada. Se defiende que, mientras los plazos y las prórrogas sigan dependiendo más de la presión social que de un control judicial estricto, la prisión preventiva continuará operando, en la práctica, como el mecanismo concreto a través del cual la medida cautelar se transforma en una sanción anticipada de hecho.</w:t>
      </w:r>
    </w:p>
    <w:p w14:paraId="61F7917A" w14:textId="77777777" w:rsidR="0070272A" w:rsidRDefault="0070272A">
      <w:pPr>
        <w:spacing w:after="200" w:line="360" w:lineRule="auto"/>
        <w:jc w:val="both"/>
      </w:pPr>
    </w:p>
    <w:p w14:paraId="76C7B373" w14:textId="77777777" w:rsidR="0070272A" w:rsidRDefault="0070272A">
      <w:pPr>
        <w:spacing w:after="200" w:line="360" w:lineRule="auto"/>
        <w:jc w:val="both"/>
      </w:pPr>
    </w:p>
    <w:p w14:paraId="2EB4C205" w14:textId="77777777" w:rsidR="0070272A" w:rsidRDefault="0070272A">
      <w:pPr>
        <w:spacing w:after="200" w:line="360" w:lineRule="auto"/>
        <w:jc w:val="both"/>
      </w:pPr>
    </w:p>
    <w:p w14:paraId="5101450E" w14:textId="77777777" w:rsidR="0070272A" w:rsidRDefault="0070272A">
      <w:pPr>
        <w:spacing w:after="200" w:line="360" w:lineRule="auto"/>
        <w:jc w:val="both"/>
      </w:pPr>
    </w:p>
    <w:p w14:paraId="2F126EE6" w14:textId="77777777" w:rsidR="0070272A" w:rsidRDefault="0070272A">
      <w:pPr>
        <w:spacing w:after="200" w:line="360" w:lineRule="auto"/>
        <w:jc w:val="both"/>
      </w:pPr>
    </w:p>
    <w:p w14:paraId="1F40D612" w14:textId="77777777" w:rsidR="0070272A" w:rsidRDefault="0070272A">
      <w:pPr>
        <w:spacing w:after="200" w:line="360" w:lineRule="auto"/>
        <w:jc w:val="both"/>
      </w:pPr>
    </w:p>
    <w:p w14:paraId="4D27E2AC" w14:textId="77777777" w:rsidR="0070272A" w:rsidRDefault="0070272A">
      <w:pPr>
        <w:spacing w:after="200" w:line="360" w:lineRule="auto"/>
        <w:jc w:val="both"/>
      </w:pPr>
    </w:p>
    <w:p w14:paraId="5A16FC49" w14:textId="77777777" w:rsidR="0070272A" w:rsidRDefault="0070272A">
      <w:pPr>
        <w:spacing w:after="200" w:line="360" w:lineRule="auto"/>
        <w:jc w:val="both"/>
      </w:pPr>
    </w:p>
    <w:p w14:paraId="3556BC20" w14:textId="77777777" w:rsidR="0070272A" w:rsidRDefault="0070272A">
      <w:pPr>
        <w:spacing w:after="200" w:line="360" w:lineRule="auto"/>
        <w:jc w:val="both"/>
      </w:pPr>
    </w:p>
    <w:p w14:paraId="3C7DF8D1" w14:textId="77777777" w:rsidR="0070272A" w:rsidRDefault="0070272A">
      <w:pPr>
        <w:spacing w:after="200" w:line="360" w:lineRule="auto"/>
        <w:jc w:val="both"/>
      </w:pPr>
    </w:p>
    <w:p w14:paraId="0FFF0339" w14:textId="77777777" w:rsidR="0070272A" w:rsidRDefault="0070272A">
      <w:pPr>
        <w:spacing w:after="200" w:line="360" w:lineRule="auto"/>
        <w:jc w:val="both"/>
      </w:pPr>
    </w:p>
    <w:p w14:paraId="40CB0A17" w14:textId="77777777" w:rsidR="0070272A" w:rsidRDefault="0070272A">
      <w:pPr>
        <w:spacing w:after="200" w:line="360" w:lineRule="auto"/>
        <w:jc w:val="both"/>
      </w:pPr>
    </w:p>
    <w:p w14:paraId="2CD5C77E" w14:textId="77777777" w:rsidR="00780822" w:rsidRDefault="0049229A">
      <w:pPr>
        <w:spacing w:after="200" w:line="360" w:lineRule="auto"/>
        <w:jc w:val="both"/>
      </w:pPr>
      <w:r>
        <w:t xml:space="preserve">Retomando la tesis central de este ensayo —según la cual la prisión preventiva en el Distrito Nacional ha desvirtuado parcialmente su carácter cautelar y excepcional, operando en determinados casos como una forma de pena anticipada—, del análisis conjunto del desarrollo se desprende que este fenómeno no es un fenómeno aislado, sino el resultado de tres factores que se refuerzan entre sí: criterios judiciales que se alejan del riesgo procesal probado, un marco legal correcto sobre el papel pero vulnerable a </w:t>
      </w:r>
      <w:r>
        <w:t>la presión social, y una tensión constante con la presunción de inocencia que la propia ley reconoce como riesgo. Se considera que la solución no reside únicamente en nuevas normas, pues —como se expuso anteriormente— el ordenamiento dominicano ya exige excepcionalidad, proporcionalidad y un límite temporal razonable. El problema se ubica, más bien, en la aplicación judicial concreta: en qué tan dispuestos están los jueces a resistir la presión mediática y a exigir, caso por caso, un riesgo procesal real an</w:t>
      </w:r>
      <w:r>
        <w:t>tes de imponer la medida más gravosa del catálogo de coerción. Responder a la pregunta de investigación exige, por tanto, atender tanto la dimensión normativa como la práctica.</w:t>
      </w:r>
    </w:p>
    <w:p w14:paraId="2052E57F" w14:textId="77777777" w:rsidR="00780822" w:rsidRDefault="0049229A">
      <w:pPr>
        <w:spacing w:after="200" w:line="360" w:lineRule="auto"/>
        <w:jc w:val="both"/>
      </w:pPr>
      <w:r>
        <w:t>Asimismo, se considera que fortalecer los mecanismos de control judicial —en particular la revisión periódica y motivada de la prisión preventiva— es más urgente que aprobar nuevas reformas legales, dado que la experiencia reciente, tanto dominicana como regional, muestra que las leyes bien redactadas no bastan si los jueces no las aplican con rigor. Esta orientación resulta coherente con los tres objetivos específicos planteados, pues vincula los criterios de imposición, el marco jurídico vigente y la gara</w:t>
      </w:r>
      <w:r>
        <w:t>ntía de la presunción de inocencia en un mismo eje argumentativo: todos apuntan a que el problema no es de diseño normativo, sino de práctica judicial. Se sostiene que la sola existencia de mecanismos de control no basta si los jueces no internalizan la excepcionalidad como principio rector. Por ello, la opinión aquí defendida no descansa en una percepción subjetiva, sino en la lectura sistemática de la doctrina, los antecedentes dominicanos y la legislación expuestos a lo largo del ensayo.</w:t>
      </w:r>
    </w:p>
    <w:p w14:paraId="273AFFDF" w14:textId="77777777" w:rsidR="00780822" w:rsidRDefault="0049229A">
      <w:pPr>
        <w:spacing w:after="200" w:line="360" w:lineRule="auto"/>
        <w:jc w:val="both"/>
      </w:pPr>
      <w:r>
        <w:t xml:space="preserve">A la luz de lo expuesto, cabe responder que la prisión preventiva en el Distrito Nacional sí ha perdido, en buena medida, su naturaleza puramente cautelar, llegando en ciertos casos a funcionar como una sanción que se adelanta antes de cualquier condena. El recorrido del trabajo deja ver tres piezas que se enlazan entre sí: los tribunales suelen decidir guiados más por la gravedad del hecho que por un riesgo procesal comprobado; la legislación dominicana, pese a contemplar límites claros de excepcionalidad </w:t>
      </w:r>
      <w:r>
        <w:t>y proporcionalidad, no logra por sí sola frenar la duración excesiva de la medida; y es justamente esa duración prolongada la vía por la cual la prisión preventiva acaba pareciéndose, en los hechos, a una pena impuesta sin juicio firme.</w:t>
      </w:r>
    </w:p>
    <w:p w14:paraId="1D76D379" w14:textId="77777777" w:rsidR="00780822" w:rsidRDefault="0049229A">
      <w:pPr>
        <w:spacing w:after="200" w:line="360" w:lineRule="auto"/>
        <w:jc w:val="both"/>
      </w:pPr>
      <w:r>
        <w:t>Lo que este trabajo deja claro es que el origen del problema no está en cómo está escrita la norma, sino en la brecha entre lo que esa norma ordena y lo que realmente ocurre en los tribunales cuando pesa más la opinión pública que el análisis caso por caso. Esta idea conecta de forma directa con los tres objetivos que guiaron la investigación: identificar bajo qué criterios se impone la medida, describir el marco que la regula, y revisar si su aplicación respeta la presunción de inocencia. Su mayor utilidad</w:t>
      </w:r>
      <w:r>
        <w:t xml:space="preserve"> está pensada para quienes trabajan o estudian dentro del sistema de justicia penal —jueces, fiscales, defensores— y buscan reforzar las garantías procesales, sin que esto reste valor a la función legítima que la prisión preventiva cumple cuando se aplica dentro de sus propios límites.</w:t>
      </w:r>
    </w:p>
    <w:p w14:paraId="7E824265" w14:textId="77777777" w:rsidR="0070272A" w:rsidRDefault="0070272A">
      <w:pPr>
        <w:spacing w:before="300" w:after="150"/>
        <w:rPr>
          <w:b/>
          <w:bCs/>
        </w:rPr>
      </w:pPr>
    </w:p>
    <w:p w14:paraId="5BCA0D83" w14:textId="77777777" w:rsidR="0070272A" w:rsidRDefault="0070272A">
      <w:pPr>
        <w:spacing w:before="300" w:after="150"/>
        <w:rPr>
          <w:b/>
          <w:bCs/>
        </w:rPr>
      </w:pPr>
    </w:p>
    <w:p w14:paraId="32138C7F" w14:textId="77777777" w:rsidR="0070272A" w:rsidRDefault="0070272A">
      <w:pPr>
        <w:spacing w:before="300" w:after="150"/>
        <w:rPr>
          <w:b/>
          <w:bCs/>
        </w:rPr>
      </w:pPr>
    </w:p>
    <w:p w14:paraId="615B5A19" w14:textId="77777777" w:rsidR="0070272A" w:rsidRDefault="0070272A">
      <w:pPr>
        <w:spacing w:before="300" w:after="150"/>
        <w:rPr>
          <w:b/>
          <w:bCs/>
        </w:rPr>
      </w:pPr>
    </w:p>
    <w:p w14:paraId="7314E1D0" w14:textId="77777777" w:rsidR="0070272A" w:rsidRDefault="0070272A">
      <w:pPr>
        <w:spacing w:before="300" w:after="150"/>
        <w:rPr>
          <w:b/>
          <w:bCs/>
        </w:rPr>
      </w:pPr>
    </w:p>
    <w:p w14:paraId="29FA5CE7" w14:textId="77777777" w:rsidR="0070272A" w:rsidRDefault="0070272A">
      <w:pPr>
        <w:spacing w:before="300" w:after="150"/>
        <w:rPr>
          <w:b/>
          <w:bCs/>
        </w:rPr>
      </w:pPr>
    </w:p>
    <w:p w14:paraId="76C14FF3" w14:textId="77777777" w:rsidR="0070272A" w:rsidRDefault="0070272A">
      <w:pPr>
        <w:spacing w:before="300" w:after="150"/>
        <w:rPr>
          <w:b/>
          <w:bCs/>
        </w:rPr>
      </w:pPr>
    </w:p>
    <w:p w14:paraId="377B8E58" w14:textId="77777777" w:rsidR="0070272A" w:rsidRDefault="0070272A">
      <w:pPr>
        <w:spacing w:before="300" w:after="150"/>
        <w:rPr>
          <w:b/>
          <w:bCs/>
        </w:rPr>
      </w:pPr>
    </w:p>
    <w:p w14:paraId="0C454910" w14:textId="77777777" w:rsidR="0070272A" w:rsidRDefault="0070272A">
      <w:pPr>
        <w:spacing w:before="300" w:after="150"/>
        <w:rPr>
          <w:b/>
          <w:bCs/>
        </w:rPr>
      </w:pPr>
    </w:p>
    <w:p w14:paraId="6DB7CD00" w14:textId="77777777" w:rsidR="0070272A" w:rsidRDefault="0070272A">
      <w:pPr>
        <w:spacing w:before="300" w:after="150"/>
        <w:rPr>
          <w:b/>
          <w:bCs/>
        </w:rPr>
      </w:pPr>
    </w:p>
    <w:p w14:paraId="25BBE58E" w14:textId="77777777" w:rsidR="0070272A" w:rsidRDefault="0070272A">
      <w:pPr>
        <w:spacing w:before="300" w:after="150"/>
        <w:rPr>
          <w:b/>
          <w:bCs/>
        </w:rPr>
      </w:pPr>
    </w:p>
    <w:p w14:paraId="395A6448" w14:textId="77777777" w:rsidR="0070272A" w:rsidRDefault="0070272A">
      <w:pPr>
        <w:spacing w:before="300" w:after="150"/>
        <w:rPr>
          <w:b/>
          <w:bCs/>
        </w:rPr>
      </w:pPr>
    </w:p>
    <w:p w14:paraId="3AFB7405" w14:textId="77777777" w:rsidR="0070272A" w:rsidRDefault="0070272A">
      <w:pPr>
        <w:spacing w:before="300" w:after="150"/>
        <w:rPr>
          <w:b/>
          <w:bCs/>
        </w:rPr>
      </w:pPr>
    </w:p>
    <w:p w14:paraId="705DD00D" w14:textId="77777777" w:rsidR="0070272A" w:rsidRDefault="0070272A">
      <w:pPr>
        <w:spacing w:before="300" w:after="150"/>
        <w:rPr>
          <w:b/>
          <w:bCs/>
        </w:rPr>
      </w:pPr>
    </w:p>
    <w:p w14:paraId="729B8B0B" w14:textId="5B9EA647" w:rsidR="00780822" w:rsidRDefault="0049229A">
      <w:pPr>
        <w:spacing w:before="300" w:after="150"/>
      </w:pPr>
      <w:r>
        <w:rPr>
          <w:b/>
          <w:bCs/>
        </w:rPr>
        <w:t>Declaración de autoría y uso de inteligencia artificial</w:t>
      </w:r>
    </w:p>
    <w:p w14:paraId="543206C7" w14:textId="77777777" w:rsidR="00780822" w:rsidRDefault="0049229A">
      <w:pPr>
        <w:spacing w:after="200" w:line="360" w:lineRule="auto"/>
        <w:jc w:val="both"/>
      </w:pPr>
      <w:r>
        <w:t>El presente trabajo fue elaborado por Oscairy María Portes Sánchez, con base en el anteproyecto de investigación desarrollado para esta asignatura y bajo la asesoría metodológica de Ana Magnolia Méndez Cabrera.</w:t>
      </w:r>
    </w:p>
    <w:p w14:paraId="1E3ADBC8" w14:textId="77777777" w:rsidR="00780822" w:rsidRDefault="0049229A">
      <w:pPr>
        <w:spacing w:after="200" w:line="360" w:lineRule="auto"/>
        <w:jc w:val="both"/>
      </w:pPr>
      <w:r>
        <w:t xml:space="preserve">Durante su elaboración se contó con el apoyo de herramientas de inteligencia artificial, específicamente ChatGPT (OpenAI) y Claude (Anthropic), utilizadas como herramientas de apoyo académico. Su uso se limitó a la organización y estructuración de las ideas, la revisión de la coherencia y claridad de la redacción, la mejora de la presentación del contenido, la organización de las referencias bibliográficas y la verificación de la consistencia entre las citas y las fuentes utilizadas. Asimismo, sirvieron de </w:t>
      </w:r>
      <w:r>
        <w:t>apoyo para incorporar las observaciones formuladas durante el proceso de revisión entre pares y para optimizar la estructura del documento y facilitar el proceso de revisión final.</w:t>
      </w:r>
    </w:p>
    <w:p w14:paraId="530E592D" w14:textId="77777777" w:rsidR="00780822" w:rsidRDefault="0049229A">
      <w:pPr>
        <w:spacing w:after="200" w:line="360" w:lineRule="auto"/>
        <w:jc w:val="both"/>
      </w:pPr>
      <w:r>
        <w:t>La selección de las fuentes, el análisis de la información, la interpretación de los resultados, las conclusiones y la versión definitiva del trabajo fueron realizados y revisados por la autora, quien asumió la responsabilidad del contenido final presentado.</w:t>
      </w:r>
    </w:p>
    <w:p w14:paraId="5ECA89AA" w14:textId="77777777" w:rsidR="0070272A" w:rsidRDefault="0070272A">
      <w:pPr>
        <w:spacing w:before="300" w:after="150"/>
        <w:rPr>
          <w:b/>
          <w:bCs/>
        </w:rPr>
      </w:pPr>
    </w:p>
    <w:p w14:paraId="56275940" w14:textId="77777777" w:rsidR="0070272A" w:rsidRDefault="0070272A">
      <w:pPr>
        <w:spacing w:before="300" w:after="150"/>
        <w:rPr>
          <w:b/>
          <w:bCs/>
        </w:rPr>
      </w:pPr>
    </w:p>
    <w:p w14:paraId="5FF8EDA1" w14:textId="77777777" w:rsidR="0070272A" w:rsidRDefault="0070272A">
      <w:pPr>
        <w:spacing w:before="300" w:after="150"/>
        <w:rPr>
          <w:b/>
          <w:bCs/>
        </w:rPr>
      </w:pPr>
    </w:p>
    <w:p w14:paraId="6AFDB8F1" w14:textId="77777777" w:rsidR="0070272A" w:rsidRDefault="0070272A">
      <w:pPr>
        <w:spacing w:before="300" w:after="150"/>
        <w:rPr>
          <w:b/>
          <w:bCs/>
        </w:rPr>
      </w:pPr>
    </w:p>
    <w:p w14:paraId="5D8E1F31" w14:textId="77777777" w:rsidR="0070272A" w:rsidRDefault="0070272A">
      <w:pPr>
        <w:spacing w:before="300" w:after="150"/>
        <w:rPr>
          <w:b/>
          <w:bCs/>
        </w:rPr>
      </w:pPr>
    </w:p>
    <w:p w14:paraId="735FE791" w14:textId="77777777" w:rsidR="0070272A" w:rsidRDefault="0070272A">
      <w:pPr>
        <w:spacing w:before="300" w:after="150"/>
        <w:rPr>
          <w:b/>
          <w:bCs/>
        </w:rPr>
      </w:pPr>
    </w:p>
    <w:p w14:paraId="58E6B570" w14:textId="77777777" w:rsidR="0070272A" w:rsidRDefault="0070272A">
      <w:pPr>
        <w:spacing w:before="300" w:after="150"/>
        <w:rPr>
          <w:b/>
          <w:bCs/>
        </w:rPr>
      </w:pPr>
    </w:p>
    <w:p w14:paraId="093CC69F" w14:textId="77777777" w:rsidR="0070272A" w:rsidRDefault="0070272A">
      <w:pPr>
        <w:spacing w:before="300" w:after="150"/>
        <w:rPr>
          <w:b/>
          <w:bCs/>
        </w:rPr>
      </w:pPr>
    </w:p>
    <w:p w14:paraId="3B3F22DC" w14:textId="77777777" w:rsidR="0070272A" w:rsidRDefault="0070272A">
      <w:pPr>
        <w:spacing w:before="300" w:after="150"/>
        <w:rPr>
          <w:b/>
          <w:bCs/>
        </w:rPr>
      </w:pPr>
    </w:p>
    <w:p w14:paraId="4663EACE" w14:textId="77777777" w:rsidR="0070272A" w:rsidRDefault="0070272A">
      <w:pPr>
        <w:spacing w:before="300" w:after="150"/>
        <w:rPr>
          <w:b/>
          <w:bCs/>
        </w:rPr>
      </w:pPr>
    </w:p>
    <w:p w14:paraId="15E95AC5" w14:textId="77777777" w:rsidR="0070272A" w:rsidRDefault="0070272A">
      <w:pPr>
        <w:spacing w:before="300" w:after="150"/>
        <w:rPr>
          <w:b/>
          <w:bCs/>
        </w:rPr>
      </w:pPr>
    </w:p>
    <w:p w14:paraId="68800529" w14:textId="0233BD14" w:rsidR="00780822" w:rsidRDefault="0049229A">
      <w:pPr>
        <w:spacing w:before="300" w:after="150"/>
      </w:pPr>
      <w:r>
        <w:rPr>
          <w:b/>
          <w:bCs/>
        </w:rPr>
        <w:t>Bibliografía</w:t>
      </w:r>
    </w:p>
    <w:p w14:paraId="1252F2BA" w14:textId="77777777" w:rsidR="00780822" w:rsidRDefault="0049229A">
      <w:pPr>
        <w:spacing w:after="200" w:line="300" w:lineRule="auto"/>
      </w:pPr>
      <w:r>
        <w:t>Beade, Gustavo A. “El populismo penal y el derecho penal todoterreno en la Argentina.” Revista Derecho Penal y Criminología 90, vol. XXXI (enero-junio de 2010): 55-70. https://dialnet.unirioja.es/descarga/articulo/3311816.pdf</w:t>
      </w:r>
    </w:p>
    <w:p w14:paraId="13369494" w14:textId="77777777" w:rsidR="00780822" w:rsidRDefault="0049229A">
      <w:pPr>
        <w:spacing w:after="200" w:line="300" w:lineRule="auto"/>
      </w:pPr>
      <w:r>
        <w:t xml:space="preserve">Binder, Alberto Martín. “La reforma de la justicia penal: de dónde venimos, dónde estamos y a dónde vamos.” </w:t>
      </w:r>
      <w:r w:rsidRPr="00090F6F">
        <w:rPr>
          <w:lang w:val="en-US"/>
        </w:rPr>
        <w:t xml:space="preserve">En Yearbook of Legal Sciences &amp; Human Rights: Tribute to Prof. Dr. Cândido Furtado Maia Neto, vol. 1, 40-82. </w:t>
      </w:r>
      <w:r>
        <w:t>2024. https://dialnet.unirioja.es/descarga/articulo/9571682.pdf</w:t>
      </w:r>
    </w:p>
    <w:p w14:paraId="2FEE9E6D" w14:textId="77777777" w:rsidR="00780822" w:rsidRDefault="0049229A">
      <w:pPr>
        <w:spacing w:after="200" w:line="300" w:lineRule="auto"/>
      </w:pPr>
      <w:r>
        <w:t>Brito Ulerio, Beatriz Nohemí. Análisis del Carácter Excepcional de la Prisión Preventiva en el Derecho Procesal Penal Dominicano. Memoria final para optar por el título de Licenciada en Derecho. Santo Domingo, República Dominicana: Pontificia Universidad Católica Madre y Maestra, 2014.</w:t>
      </w:r>
    </w:p>
    <w:p w14:paraId="704078F6" w14:textId="77777777" w:rsidR="00780822" w:rsidRDefault="0049229A">
      <w:pPr>
        <w:spacing w:after="200" w:line="300" w:lineRule="auto"/>
      </w:pPr>
      <w:r>
        <w:t>Ferrajoli, Luigi. Derecho y razón: Teoría del garantismo penal. Traducido por Perfecto Andrés Ibáñez. Madrid: Trotta, 1995. https://clea.edu.mx/biblioteca/files/original/5694a779b4871166c0edb73b407c9529.pdf</w:t>
      </w:r>
    </w:p>
    <w:p w14:paraId="746D6C80" w14:textId="77777777" w:rsidR="00780822" w:rsidRDefault="0049229A">
      <w:pPr>
        <w:spacing w:after="200" w:line="300" w:lineRule="auto"/>
      </w:pPr>
      <w:r>
        <w:t>Merán Ramírez, Hanser. La Prisión Preventiva como Medida de Coerción. Memoria final para optar por el título de Licenciado en Derecho. Santiago de los Caballeros, República Dominicana: Pontificia Universidad Católica Madre y Maestra, 2010.</w:t>
      </w:r>
    </w:p>
    <w:p w14:paraId="24E8635C" w14:textId="77777777" w:rsidR="00780822" w:rsidRDefault="0049229A">
      <w:pPr>
        <w:spacing w:after="200" w:line="300" w:lineRule="auto"/>
      </w:pPr>
      <w:r>
        <w:t>Piñeyro Pellerano, Pamela E. “El Principio de la Presunción de Inocencia en contra de la Prisión Preventiva.” Memoria final para optar por el título de Licenciada en Derecho. Santo Domingo, República Dominicana: Pontificia Universidad Católica Madre y Maestra, 29 de marzo de 2009.</w:t>
      </w:r>
    </w:p>
    <w:p w14:paraId="023899D1" w14:textId="77777777" w:rsidR="00780822" w:rsidRDefault="0049229A">
      <w:pPr>
        <w:spacing w:after="200" w:line="300" w:lineRule="auto"/>
      </w:pPr>
      <w:r>
        <w:t>República Dominicana. Ley núm. 76-02 que establece el Código Procesal Penal de la República Dominicana. Gaceta Oficial núm. 10170, 27 de septiembre de 2002. https://dpej.rae.es/eli/do/l/2002/07/19/76</w:t>
      </w:r>
    </w:p>
    <w:p w14:paraId="50718EC9" w14:textId="77777777" w:rsidR="00780822" w:rsidRDefault="0049229A">
      <w:pPr>
        <w:spacing w:after="200" w:line="300" w:lineRule="auto"/>
      </w:pPr>
      <w:r>
        <w:t>República Dominicana. Ley núm. 97-25, orgánica que instituye el Código Procesal Penal de la República Dominicana. Gaceta Oficial núm. 11221, 8 de diciembre de 2025. https://www.consultoria.gov.do/Documents/GetDocument?reference=3d44f7a1-8bbb-4b9f-8564-90f3bad77acb</w:t>
      </w:r>
    </w:p>
    <w:sectPr w:rsidR="007808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E6837" w14:textId="77777777" w:rsidR="0049229A" w:rsidRDefault="0049229A">
      <w:r>
        <w:separator/>
      </w:r>
    </w:p>
  </w:endnote>
  <w:endnote w:type="continuationSeparator" w:id="0">
    <w:p w14:paraId="50FBCD7A" w14:textId="77777777" w:rsidR="0049229A" w:rsidRDefault="00492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95278" w14:textId="77777777" w:rsidR="0049229A" w:rsidRDefault="0049229A">
      <w:r>
        <w:separator/>
      </w:r>
    </w:p>
  </w:footnote>
  <w:footnote w:type="continuationSeparator" w:id="0">
    <w:p w14:paraId="2ECB50DD" w14:textId="77777777" w:rsidR="0049229A" w:rsidRDefault="0049229A">
      <w:r>
        <w:continuationSeparator/>
      </w:r>
    </w:p>
  </w:footnote>
  <w:footnote w:id="1">
    <w:p w14:paraId="2BF4F7D0" w14:textId="77777777" w:rsidR="00780822" w:rsidRDefault="0049229A">
      <w:r>
        <w:rPr>
          <w:rStyle w:val="Refdenotaalpie"/>
        </w:rPr>
        <w:footnoteRef/>
      </w:r>
      <w:r>
        <w:rPr>
          <w:sz w:val="20"/>
          <w:szCs w:val="20"/>
        </w:rPr>
        <w:t>Luigi Ferrajoli, Derecho y razón: Teoría del garantismo penal, trad. Perfecto Andrés Ibáñez (Madrid: Trotta, 1995), 553, accedido el 25 de junio de 2026, https://clea.edu.mx/biblioteca/files/original/5694a779b4871166c0edb73b407c9529.pdf</w:t>
      </w:r>
    </w:p>
  </w:footnote>
  <w:footnote w:id="2">
    <w:p w14:paraId="6FD3A19A" w14:textId="77777777" w:rsidR="00780822" w:rsidRDefault="0049229A">
      <w:r>
        <w:rPr>
          <w:rStyle w:val="Refdenotaalpie"/>
        </w:rPr>
        <w:footnoteRef/>
      </w:r>
      <w:r>
        <w:rPr>
          <w:sz w:val="20"/>
          <w:szCs w:val="20"/>
        </w:rPr>
        <w:t>Luigi Ferrajoli, Derecho y razón: Teoría del garantismo penal, trad. Perfecto Andrés Ibáñez (Madrid: Trotta, 1995), 555, accedido el 25 de junio de 2026, https://clea.edu.mx/biblioteca/files/original/5694a779b4871166c0edb73b407c9529.pdf</w:t>
      </w:r>
    </w:p>
  </w:footnote>
  <w:footnote w:id="3">
    <w:p w14:paraId="24EB963F" w14:textId="77777777" w:rsidR="00780822" w:rsidRDefault="0049229A">
      <w:r>
        <w:rPr>
          <w:rStyle w:val="Refdenotaalpie"/>
        </w:rPr>
        <w:footnoteRef/>
      </w:r>
      <w:r>
        <w:rPr>
          <w:sz w:val="20"/>
          <w:szCs w:val="20"/>
        </w:rPr>
        <w:t>Gustavo A. Beade, “El populismo penal y el derecho penal todoterreno en la Argentina,” Revista Derecho Penal y Criminología 90, vol. XXXI (enero-junio de 2010): 56-64, accedido el 25 de junio de 2026, https://dialnet.unirioja.es/descarga/articulo/3311816.pdf</w:t>
      </w:r>
    </w:p>
  </w:footnote>
  <w:footnote w:id="4">
    <w:p w14:paraId="7CEFA7C1" w14:textId="77777777" w:rsidR="00780822" w:rsidRDefault="0049229A">
      <w:r>
        <w:rPr>
          <w:rStyle w:val="Refdenotaalpie"/>
        </w:rPr>
        <w:footnoteRef/>
      </w:r>
      <w:r>
        <w:rPr>
          <w:sz w:val="20"/>
          <w:szCs w:val="20"/>
        </w:rPr>
        <w:t>Beatriz Nohemí Brito Ulerio, Análisis del Carácter Excepcional de la Prisión Preventiva en el Derecho Procesal Penal Dominicano (Memoria final para optar por el título de Licenciada en Derecho, Pontificia Universidad Católica Madre y Maestra, Santo Domingo, República Dominicana, octubre de 2014).</w:t>
      </w:r>
    </w:p>
  </w:footnote>
  <w:footnote w:id="5">
    <w:p w14:paraId="11039226" w14:textId="77777777" w:rsidR="00780822" w:rsidRDefault="0049229A">
      <w:r>
        <w:rPr>
          <w:rStyle w:val="Refdenotaalpie"/>
        </w:rPr>
        <w:footnoteRef/>
      </w:r>
      <w:r>
        <w:rPr>
          <w:sz w:val="20"/>
          <w:szCs w:val="20"/>
        </w:rPr>
        <w:t>Hanser Merán Ramírez, La Prisión Preventiva como Medida de Coerción (Memoria final para optar por el título de Licenciado en Derecho, Pontificia Universidad Católica Madre y Maestra, Santiago de los Caballeros, República Dominicana, 2010).</w:t>
      </w:r>
    </w:p>
  </w:footnote>
  <w:footnote w:id="6">
    <w:p w14:paraId="510A7905" w14:textId="77777777" w:rsidR="00780822" w:rsidRDefault="0049229A">
      <w:r>
        <w:rPr>
          <w:rStyle w:val="Refdenotaalpie"/>
        </w:rPr>
        <w:footnoteRef/>
      </w:r>
      <w:r>
        <w:rPr>
          <w:sz w:val="20"/>
          <w:szCs w:val="20"/>
        </w:rPr>
        <w:t>Alberto Martín Binder, “La reforma de la justicia penal: de dónde venimos, dónde estamos y a dónde vamos,” en Yearbook of Legal Sciences &amp; Human Rights: Tribute to Prof. Dr. Cândido Furtado Maia Neto, vol. 1 (2024): 64, accedido el 25 de junio de 2026, https://dialnet.unirioja.es/descarga/articulo/9571682.pdf</w:t>
      </w:r>
    </w:p>
  </w:footnote>
  <w:footnote w:id="7">
    <w:p w14:paraId="19D19E05" w14:textId="77777777" w:rsidR="00780822" w:rsidRDefault="0049229A">
      <w:r>
        <w:rPr>
          <w:rStyle w:val="Refdenotaalpie"/>
        </w:rPr>
        <w:footnoteRef/>
      </w:r>
      <w:r>
        <w:rPr>
          <w:sz w:val="20"/>
          <w:szCs w:val="20"/>
        </w:rPr>
        <w:t>República Dominicana, Ley núm. 76-02 que establece el Código Procesal Penal de la República Dominicana, Gaceta Oficial núm. 10170, 27 de septiembre de 2002, arts. 15-16.</w:t>
      </w:r>
    </w:p>
  </w:footnote>
  <w:footnote w:id="8">
    <w:p w14:paraId="19A7DA32" w14:textId="77777777" w:rsidR="00780822" w:rsidRDefault="0049229A">
      <w:r>
        <w:rPr>
          <w:rStyle w:val="Refdenotaalpie"/>
        </w:rPr>
        <w:footnoteRef/>
      </w:r>
      <w:r>
        <w:rPr>
          <w:sz w:val="20"/>
          <w:szCs w:val="20"/>
        </w:rPr>
        <w:t>República Dominicana, Ley núm. 97-25, orgánica que instituye el Código Procesal Penal de la República Dominicana, Gaceta Oficial núm. 11221, 8 de diciembre de 2025, arts. 15-16.</w:t>
      </w:r>
    </w:p>
  </w:footnote>
  <w:footnote w:id="9">
    <w:p w14:paraId="576A625D" w14:textId="77777777" w:rsidR="00780822" w:rsidRDefault="0049229A">
      <w:r>
        <w:rPr>
          <w:rStyle w:val="Refdenotaalpie"/>
        </w:rPr>
        <w:footnoteRef/>
      </w:r>
      <w:r>
        <w:rPr>
          <w:sz w:val="20"/>
          <w:szCs w:val="20"/>
        </w:rPr>
        <w:t>Luigi Ferrajoli, Derecho y razón: Teoría del garantismo penal, trad. Perfecto Andrés Ibáñez (Madrid: Trotta, 1995), 549, accedido el 25 de junio de 2026, https://clea.edu.mx/biblioteca/files/original/5694a779b4871166c0edb73b407c9529.pdf</w:t>
      </w:r>
    </w:p>
  </w:footnote>
  <w:footnote w:id="10">
    <w:p w14:paraId="274C7E73" w14:textId="77777777" w:rsidR="00780822" w:rsidRDefault="0049229A">
      <w:r>
        <w:rPr>
          <w:rStyle w:val="Refdenotaalpie"/>
        </w:rPr>
        <w:footnoteRef/>
      </w:r>
      <w:r>
        <w:rPr>
          <w:sz w:val="20"/>
          <w:szCs w:val="20"/>
        </w:rPr>
        <w:t>Pamela E. Piñeyro Pellerano, “El Principio de la Presunción de Inocencia en contra de la Prisión Preventiva” (Memoria final para optar por el título de Licenciada en Derecho, Pontificia Universidad Católica Madre y Maestra, Santo Domingo, República Dominicana, 29 de marzo de 2009).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16359"/>
    <w:multiLevelType w:val="hybridMultilevel"/>
    <w:tmpl w:val="1EAE6A72"/>
    <w:lvl w:ilvl="0" w:tplc="01C8C590">
      <w:start w:val="1"/>
      <w:numFmt w:val="bullet"/>
      <w:lvlText w:val="●"/>
      <w:lvlJc w:val="left"/>
      <w:pPr>
        <w:ind w:left="720" w:hanging="360"/>
      </w:pPr>
    </w:lvl>
    <w:lvl w:ilvl="1" w:tplc="A0BE452E">
      <w:start w:val="1"/>
      <w:numFmt w:val="bullet"/>
      <w:lvlText w:val="○"/>
      <w:lvlJc w:val="left"/>
      <w:pPr>
        <w:ind w:left="1440" w:hanging="360"/>
      </w:pPr>
    </w:lvl>
    <w:lvl w:ilvl="2" w:tplc="66D8CA6E">
      <w:start w:val="1"/>
      <w:numFmt w:val="bullet"/>
      <w:lvlText w:val="■"/>
      <w:lvlJc w:val="left"/>
      <w:pPr>
        <w:ind w:left="2160" w:hanging="360"/>
      </w:pPr>
    </w:lvl>
    <w:lvl w:ilvl="3" w:tplc="84E0E56E">
      <w:start w:val="1"/>
      <w:numFmt w:val="bullet"/>
      <w:lvlText w:val="●"/>
      <w:lvlJc w:val="left"/>
      <w:pPr>
        <w:ind w:left="2880" w:hanging="360"/>
      </w:pPr>
    </w:lvl>
    <w:lvl w:ilvl="4" w:tplc="50205036">
      <w:start w:val="1"/>
      <w:numFmt w:val="bullet"/>
      <w:lvlText w:val="○"/>
      <w:lvlJc w:val="left"/>
      <w:pPr>
        <w:ind w:left="3600" w:hanging="360"/>
      </w:pPr>
    </w:lvl>
    <w:lvl w:ilvl="5" w:tplc="B8D2D728">
      <w:start w:val="1"/>
      <w:numFmt w:val="bullet"/>
      <w:lvlText w:val="■"/>
      <w:lvlJc w:val="left"/>
      <w:pPr>
        <w:ind w:left="4320" w:hanging="360"/>
      </w:pPr>
    </w:lvl>
    <w:lvl w:ilvl="6" w:tplc="C9927E58">
      <w:start w:val="1"/>
      <w:numFmt w:val="bullet"/>
      <w:lvlText w:val="●"/>
      <w:lvlJc w:val="left"/>
      <w:pPr>
        <w:ind w:left="5040" w:hanging="360"/>
      </w:pPr>
    </w:lvl>
    <w:lvl w:ilvl="7" w:tplc="9AD42F1A">
      <w:start w:val="1"/>
      <w:numFmt w:val="bullet"/>
      <w:lvlText w:val="●"/>
      <w:lvlJc w:val="left"/>
      <w:pPr>
        <w:ind w:left="5760" w:hanging="360"/>
      </w:pPr>
    </w:lvl>
    <w:lvl w:ilvl="8" w:tplc="6D4A1B4C">
      <w:start w:val="1"/>
      <w:numFmt w:val="bullet"/>
      <w:lvlText w:val="●"/>
      <w:lvlJc w:val="left"/>
      <w:pPr>
        <w:ind w:left="6480" w:hanging="360"/>
      </w:pPr>
    </w:lvl>
  </w:abstractNum>
  <w:num w:numId="1" w16cid:durableId="1820464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822"/>
    <w:rsid w:val="00090F6F"/>
    <w:rsid w:val="00330ACF"/>
    <w:rsid w:val="0049229A"/>
    <w:rsid w:val="0070272A"/>
    <w:rsid w:val="00780822"/>
    <w:rsid w:val="00B07B04"/>
    <w:rsid w:val="00BB70C1"/>
    <w:rsid w:val="00F766DB"/>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ecimalSymbol w:val="."/>
  <w:listSeparator w:val=";"/>
  <w14:docId w14:val="02185652"/>
  <w15:docId w15:val="{EEEE14FB-58F4-9E4C-BEF2-4F96092CA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D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2985</Words>
  <Characters>17916</Characters>
  <Application>Microsoft Office Word</Application>
  <DocSecurity>0</DocSecurity>
  <Lines>325</Lines>
  <Paragraphs>109</Paragraphs>
  <ScaleCrop>false</ScaleCrop>
  <Company/>
  <LinksUpToDate>false</LinksUpToDate>
  <CharactersWithSpaces>20792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oscairy portes</cp:lastModifiedBy>
  <cp:revision>5</cp:revision>
  <dcterms:created xsi:type="dcterms:W3CDTF">2026-07-20T15:20:00Z</dcterms:created>
  <dcterms:modified xsi:type="dcterms:W3CDTF">2026-07-20T15:26:00Z</dcterms:modified>
</cp:coreProperties>
</file>