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0336" w14:textId="77777777" w:rsidR="00025B37" w:rsidRDefault="00025B37" w:rsidP="00025B37">
      <w:pPr>
        <w:spacing w:after="100"/>
        <w:jc w:val="center"/>
        <w:rPr>
          <w:b/>
          <w:bCs/>
          <w:lang w:val="es-ES"/>
        </w:rPr>
      </w:pPr>
      <w:r>
        <w:fldChar w:fldCharType="begin"/>
      </w:r>
      <w:r>
        <w:instrText xml:space="preserve"> INCLUDEPICTURE "https://pucmm.edu.do/wp-content/uploads/2026/07/Logo-PUCMM-Color.png" \* MERGEFORMATINET </w:instrText>
      </w:r>
      <w:r>
        <w:fldChar w:fldCharType="separate"/>
      </w:r>
      <w:r>
        <w:rPr>
          <w:noProof/>
        </w:rPr>
        <w:drawing>
          <wp:inline distT="0" distB="0" distL="0" distR="0" wp14:anchorId="5BD94DF2" wp14:editId="1D2A0969">
            <wp:extent cx="815788" cy="815788"/>
            <wp:effectExtent l="0" t="0" r="0" b="0"/>
            <wp:docPr id="1290335030" name="Picture 1" descr="Logosímbolo – PUC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ímbolo – PUCM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6426" cy="846426"/>
                    </a:xfrm>
                    <a:prstGeom prst="rect">
                      <a:avLst/>
                    </a:prstGeom>
                    <a:noFill/>
                    <a:ln>
                      <a:noFill/>
                    </a:ln>
                  </pic:spPr>
                </pic:pic>
              </a:graphicData>
            </a:graphic>
          </wp:inline>
        </w:drawing>
      </w:r>
      <w:r>
        <w:fldChar w:fldCharType="end"/>
      </w:r>
    </w:p>
    <w:p w14:paraId="3931E9D9" w14:textId="77777777" w:rsidR="00025B37" w:rsidRDefault="00025B37" w:rsidP="00025B37">
      <w:pPr>
        <w:spacing w:after="100"/>
        <w:jc w:val="center"/>
        <w:rPr>
          <w:b/>
          <w:bCs/>
          <w:lang w:val="es-ES"/>
        </w:rPr>
      </w:pPr>
    </w:p>
    <w:p w14:paraId="4AE50701" w14:textId="77777777" w:rsidR="00025B37" w:rsidRPr="003D429C" w:rsidRDefault="00025B37" w:rsidP="00025B37">
      <w:pPr>
        <w:spacing w:after="100"/>
        <w:jc w:val="center"/>
        <w:rPr>
          <w:lang w:val="es-ES"/>
        </w:rPr>
      </w:pPr>
      <w:r w:rsidRPr="003D429C">
        <w:rPr>
          <w:b/>
          <w:bCs/>
          <w:lang w:val="es-ES"/>
        </w:rPr>
        <w:t>PONTIFICIA UNIVERSIDAD CATÓLICA MADRE Y MAESTRA</w:t>
      </w:r>
    </w:p>
    <w:p w14:paraId="4F4A9970" w14:textId="77777777" w:rsidR="00025B37" w:rsidRPr="003D429C" w:rsidRDefault="00025B37" w:rsidP="00025B37">
      <w:pPr>
        <w:spacing w:after="400"/>
        <w:jc w:val="center"/>
        <w:rPr>
          <w:lang w:val="es-ES"/>
        </w:rPr>
      </w:pPr>
      <w:r w:rsidRPr="003D429C">
        <w:rPr>
          <w:lang w:val="es-ES"/>
        </w:rPr>
        <w:t>(PUCMM)</w:t>
      </w:r>
    </w:p>
    <w:p w14:paraId="7BED42FD" w14:textId="77777777" w:rsidR="00025B37" w:rsidRPr="003D429C" w:rsidRDefault="00025B37" w:rsidP="00025B37">
      <w:pPr>
        <w:spacing w:after="100"/>
        <w:jc w:val="center"/>
        <w:rPr>
          <w:lang w:val="es-ES"/>
        </w:rPr>
      </w:pPr>
      <w:r w:rsidRPr="003D429C">
        <w:rPr>
          <w:lang w:val="es-ES"/>
        </w:rPr>
        <w:t>Facultad de Ciencias Jurídicas y Políticas</w:t>
      </w:r>
    </w:p>
    <w:p w14:paraId="582FD3ED" w14:textId="77777777" w:rsidR="00025B37" w:rsidRPr="003D429C" w:rsidRDefault="00025B37" w:rsidP="00025B37">
      <w:pPr>
        <w:spacing w:after="600"/>
        <w:jc w:val="center"/>
        <w:rPr>
          <w:lang w:val="es-ES"/>
        </w:rPr>
      </w:pPr>
      <w:r w:rsidRPr="003D429C">
        <w:rPr>
          <w:lang w:val="es-ES"/>
        </w:rPr>
        <w:t>Derecho</w:t>
      </w:r>
    </w:p>
    <w:p w14:paraId="3DE21A37" w14:textId="77777777" w:rsidR="00025B37" w:rsidRPr="003D429C" w:rsidRDefault="00025B37" w:rsidP="00025B37">
      <w:pPr>
        <w:spacing w:after="600"/>
        <w:jc w:val="center"/>
        <w:rPr>
          <w:sz w:val="22"/>
          <w:szCs w:val="22"/>
          <w:lang w:val="es-ES"/>
        </w:rPr>
      </w:pPr>
      <w:r w:rsidRPr="003D429C">
        <w:rPr>
          <w:b/>
          <w:bCs/>
          <w:lang w:val="es-ES"/>
        </w:rPr>
        <w:t xml:space="preserve">Dark </w:t>
      </w:r>
      <w:proofErr w:type="spellStart"/>
      <w:r w:rsidRPr="003D429C">
        <w:rPr>
          <w:b/>
          <w:bCs/>
          <w:lang w:val="es-ES"/>
        </w:rPr>
        <w:t>patterns</w:t>
      </w:r>
      <w:proofErr w:type="spellEnd"/>
      <w:r w:rsidRPr="003D429C">
        <w:rPr>
          <w:b/>
          <w:bCs/>
          <w:lang w:val="es-ES"/>
        </w:rPr>
        <w:t xml:space="preserve"> (</w:t>
      </w:r>
      <w:r>
        <w:rPr>
          <w:b/>
          <w:bCs/>
          <w:lang w:val="es-ES"/>
        </w:rPr>
        <w:t>Dark Patterns</w:t>
      </w:r>
      <w:r w:rsidRPr="003D429C">
        <w:rPr>
          <w:b/>
          <w:bCs/>
          <w:lang w:val="es-ES"/>
        </w:rPr>
        <w:t>) y manipulación de la voluntad del consumidor: vacíos legales y desafíos para la regulación digital del comercio electrónico en la República Dominicana (2020-2026)</w:t>
      </w:r>
    </w:p>
    <w:p w14:paraId="26149822" w14:textId="77777777" w:rsidR="00025B37" w:rsidRPr="003D429C" w:rsidRDefault="00025B37" w:rsidP="00025B37">
      <w:pPr>
        <w:spacing w:after="100"/>
        <w:jc w:val="center"/>
        <w:rPr>
          <w:lang w:val="es-ES"/>
        </w:rPr>
      </w:pPr>
      <w:r>
        <w:rPr>
          <w:lang w:val="es-ES"/>
        </w:rPr>
        <w:t>Estudiante</w:t>
      </w:r>
      <w:r w:rsidRPr="003D429C">
        <w:rPr>
          <w:lang w:val="es-ES"/>
        </w:rPr>
        <w:t>:</w:t>
      </w:r>
    </w:p>
    <w:p w14:paraId="7F1D1642" w14:textId="77777777" w:rsidR="00025B37" w:rsidRPr="003D429C" w:rsidRDefault="00025B37" w:rsidP="00025B37">
      <w:pPr>
        <w:spacing w:after="400"/>
        <w:jc w:val="center"/>
        <w:rPr>
          <w:lang w:val="es-ES"/>
        </w:rPr>
      </w:pPr>
      <w:r>
        <w:rPr>
          <w:i/>
          <w:iCs/>
          <w:lang w:val="es-ES"/>
        </w:rPr>
        <w:t>Sherlyn Muñoz Ventura</w:t>
      </w:r>
    </w:p>
    <w:p w14:paraId="19EBCDE0" w14:textId="77777777" w:rsidR="00025B37" w:rsidRDefault="00025B37" w:rsidP="00025B37">
      <w:pPr>
        <w:spacing w:after="100"/>
        <w:jc w:val="center"/>
        <w:rPr>
          <w:lang w:val="es-ES"/>
        </w:rPr>
      </w:pPr>
      <w:r>
        <w:rPr>
          <w:lang w:val="es-ES"/>
        </w:rPr>
        <w:t>Profesora</w:t>
      </w:r>
      <w:r w:rsidRPr="003D429C">
        <w:rPr>
          <w:lang w:val="es-ES"/>
        </w:rPr>
        <w:t>:</w:t>
      </w:r>
    </w:p>
    <w:p w14:paraId="0645D36F" w14:textId="77777777" w:rsidR="00025B37" w:rsidRDefault="00025B37" w:rsidP="00025B37">
      <w:pPr>
        <w:spacing w:after="100"/>
        <w:jc w:val="center"/>
        <w:rPr>
          <w:i/>
          <w:iCs/>
          <w:lang w:val="es-ES"/>
        </w:rPr>
      </w:pPr>
      <w:r>
        <w:rPr>
          <w:i/>
          <w:iCs/>
          <w:lang w:val="es-ES"/>
        </w:rPr>
        <w:t>Ana Magnolia</w:t>
      </w:r>
    </w:p>
    <w:p w14:paraId="3FCD009F" w14:textId="77777777" w:rsidR="00025B37" w:rsidRPr="003D429C" w:rsidRDefault="00025B37" w:rsidP="00025B37">
      <w:pPr>
        <w:spacing w:after="100"/>
        <w:jc w:val="center"/>
        <w:rPr>
          <w:i/>
          <w:iCs/>
          <w:lang w:val="es-ES"/>
        </w:rPr>
      </w:pPr>
    </w:p>
    <w:p w14:paraId="369DAF8D" w14:textId="77777777" w:rsidR="00025B37" w:rsidRPr="003D429C" w:rsidRDefault="00025B37" w:rsidP="00025B37">
      <w:pPr>
        <w:spacing w:after="100"/>
        <w:jc w:val="center"/>
        <w:rPr>
          <w:lang w:val="es-ES"/>
        </w:rPr>
      </w:pPr>
      <w:r w:rsidRPr="003D429C">
        <w:rPr>
          <w:lang w:val="es-ES"/>
        </w:rPr>
        <w:t>Santo Domingo, República Dominicana</w:t>
      </w:r>
    </w:p>
    <w:p w14:paraId="5A647B41" w14:textId="77777777" w:rsidR="00025B37" w:rsidRPr="003D429C" w:rsidRDefault="00025B37" w:rsidP="00025B37">
      <w:pPr>
        <w:spacing w:after="200"/>
        <w:jc w:val="center"/>
        <w:rPr>
          <w:lang w:val="es-ES"/>
        </w:rPr>
      </w:pPr>
      <w:r w:rsidRPr="003D429C">
        <w:rPr>
          <w:lang w:val="es-ES"/>
        </w:rPr>
        <w:t>Julio, 2026</w:t>
      </w:r>
    </w:p>
    <w:p w14:paraId="08B08300" w14:textId="77777777" w:rsidR="00025B37" w:rsidRDefault="00025B37" w:rsidP="00025B37">
      <w:pPr>
        <w:spacing w:after="200"/>
        <w:rPr>
          <w:b/>
          <w:bCs/>
          <w:lang w:val="es-ES"/>
        </w:rPr>
      </w:pPr>
    </w:p>
    <w:p w14:paraId="30E40445" w14:textId="77777777" w:rsidR="00025B37" w:rsidRDefault="00025B37" w:rsidP="00025B37">
      <w:pPr>
        <w:spacing w:after="200"/>
        <w:rPr>
          <w:b/>
          <w:bCs/>
          <w:lang w:val="es-ES"/>
        </w:rPr>
      </w:pPr>
    </w:p>
    <w:p w14:paraId="7C517908" w14:textId="28C77D3C" w:rsidR="00025B37" w:rsidRPr="00025B37" w:rsidRDefault="00025B37" w:rsidP="00025B37">
      <w:pPr>
        <w:pStyle w:val="Heading3"/>
        <w:jc w:val="both"/>
        <w:rPr>
          <w:lang w:val="es-ES"/>
        </w:rPr>
      </w:pPr>
      <w:r w:rsidRPr="00025B37">
        <w:rPr>
          <w:lang w:val="es-ES"/>
        </w:rPr>
        <w:lastRenderedPageBreak/>
        <w:t>Resumen</w:t>
      </w:r>
    </w:p>
    <w:p w14:paraId="1605F365" w14:textId="08C157C9" w:rsidR="00025B37" w:rsidRPr="00025B37" w:rsidRDefault="00025B37" w:rsidP="00025B37">
      <w:pPr>
        <w:pStyle w:val="NormalWeb"/>
        <w:spacing w:line="360" w:lineRule="auto"/>
        <w:jc w:val="both"/>
        <w:rPr>
          <w:lang w:val="es-ES"/>
        </w:rPr>
      </w:pPr>
      <w:r w:rsidRPr="00025B37">
        <w:rPr>
          <w:lang w:val="es-ES"/>
        </w:rPr>
        <w:t>Este ensayo analiza la integración de las interfaces digitales diseñadas para manipular la voluntad del consumidor en el comercio electrónico dominicano, conocidas como patrones oscuros (</w:t>
      </w:r>
      <w:r w:rsidRPr="00025B37">
        <w:rPr>
          <w:i/>
          <w:iCs/>
          <w:lang w:val="es-ES"/>
        </w:rPr>
        <w:t>Dark Patterns</w:t>
      </w:r>
      <w:r w:rsidRPr="00025B37">
        <w:rPr>
          <w:lang w:val="es-ES"/>
        </w:rPr>
        <w:t>). El problema de investigación surge de la obsolescencia de la legislación dominicana de protección al consumidor, la cual, al haber sido concebida antes de las arquitecturas de elección algorítmica, carece de mecanismos expresos para su identificación y sanción. Ante este escenario, el objetivo general consiste en sustentar jurídicamente que el marco legal actual presenta vacíos estructurales que exigen una actualización normativa fundamentada en el derecho comparado. Para alcanzar este propósito, la investigación examina la tipología del fenómeno, evalúa el derecho vigente y contrasta los modelos regulatorios extranjeros.</w:t>
      </w:r>
    </w:p>
    <w:p w14:paraId="7D572C13" w14:textId="425D1A28" w:rsidR="00025B37" w:rsidRDefault="00025B37" w:rsidP="00025B37">
      <w:pPr>
        <w:pStyle w:val="Heading3"/>
        <w:jc w:val="both"/>
      </w:pPr>
      <w:r>
        <w:t>Abstract</w:t>
      </w:r>
    </w:p>
    <w:p w14:paraId="39CA93A5" w14:textId="44ED5C85" w:rsidR="00025B37" w:rsidRDefault="00025B37" w:rsidP="00025B37">
      <w:pPr>
        <w:pStyle w:val="NormalWeb"/>
        <w:spacing w:line="360" w:lineRule="auto"/>
        <w:jc w:val="both"/>
      </w:pPr>
      <w:r>
        <w:t>This essay examines the integration of digital interfaces designed to manipulate consumer free will within Dominican e-commerce, commonly known as Dark Patterns. The research problem stems from the obsolescence of Dominican consumer protection legislation, which, having been conceived prior to algorithmic choice architectures, lacks explicit mechanisms for their identification and sanction. Facing this scenario, the general objective is to legally support the thesis that the current legal framework presents structural loopholes that require regulatory updating inspired by comparative law. To achieve this purpose, the research examines the typology of the phenomenon, evaluates current law, and contrasts foreign regulatory models.</w:t>
      </w:r>
    </w:p>
    <w:p w14:paraId="633B5F3B" w14:textId="77777777" w:rsidR="00025B37" w:rsidRDefault="00025B37" w:rsidP="00025B37">
      <w:pPr>
        <w:pStyle w:val="NormalWeb"/>
        <w:spacing w:line="360" w:lineRule="auto"/>
        <w:jc w:val="both"/>
      </w:pPr>
    </w:p>
    <w:p w14:paraId="110D9691" w14:textId="7CDD9BE1" w:rsidR="001D3CE6" w:rsidRPr="001D3CE6" w:rsidRDefault="001D3CE6" w:rsidP="001D3CE6">
      <w:pPr>
        <w:spacing w:line="300" w:lineRule="auto"/>
        <w:jc w:val="both"/>
        <w:rPr>
          <w:lang w:val="es-ES"/>
        </w:rPr>
      </w:pPr>
      <w:r w:rsidRPr="001D3CE6">
        <w:rPr>
          <w:b/>
          <w:bCs/>
          <w:lang w:val="es-ES"/>
        </w:rPr>
        <w:t xml:space="preserve">Palabras claves: </w:t>
      </w:r>
      <w:r w:rsidRPr="001D3CE6">
        <w:rPr>
          <w:lang w:val="es-ES"/>
        </w:rPr>
        <w:t>Patrón oscuro (</w:t>
      </w:r>
      <w:proofErr w:type="spellStart"/>
      <w:r w:rsidRPr="001D3CE6">
        <w:rPr>
          <w:lang w:val="es-ES"/>
        </w:rPr>
        <w:t>dark</w:t>
      </w:r>
      <w:proofErr w:type="spellEnd"/>
      <w:r w:rsidRPr="001D3CE6">
        <w:rPr>
          <w:lang w:val="es-ES"/>
        </w:rPr>
        <w:t xml:space="preserve"> </w:t>
      </w:r>
      <w:proofErr w:type="spellStart"/>
      <w:r w:rsidRPr="001D3CE6">
        <w:rPr>
          <w:lang w:val="es-ES"/>
        </w:rPr>
        <w:t>pattern</w:t>
      </w:r>
      <w:proofErr w:type="spellEnd"/>
      <w:r w:rsidRPr="001D3CE6">
        <w:rPr>
          <w:lang w:val="es-ES"/>
        </w:rPr>
        <w:t>)</w:t>
      </w:r>
      <w:r w:rsidRPr="001D3CE6">
        <w:rPr>
          <w:lang w:val="es-ES"/>
        </w:rPr>
        <w:t xml:space="preserve">, </w:t>
      </w:r>
      <w:r w:rsidRPr="001D3CE6">
        <w:rPr>
          <w:lang w:val="es-ES"/>
        </w:rPr>
        <w:t>Arquitectura de la elección</w:t>
      </w:r>
      <w:r w:rsidRPr="001D3CE6">
        <w:rPr>
          <w:lang w:val="es-ES"/>
        </w:rPr>
        <w:t xml:space="preserve">, </w:t>
      </w:r>
      <w:r w:rsidRPr="001D3CE6">
        <w:rPr>
          <w:lang w:val="es-ES"/>
        </w:rPr>
        <w:t>Sesgo cognitivo</w:t>
      </w:r>
      <w:r w:rsidRPr="001D3CE6">
        <w:rPr>
          <w:lang w:val="es-ES"/>
        </w:rPr>
        <w:t xml:space="preserve">, </w:t>
      </w:r>
      <w:r w:rsidRPr="001D3CE6">
        <w:rPr>
          <w:lang w:val="es-ES"/>
        </w:rPr>
        <w:t>Continuidad forzada</w:t>
      </w:r>
      <w:r w:rsidRPr="001D3CE6">
        <w:rPr>
          <w:lang w:val="es-ES"/>
        </w:rPr>
        <w:t xml:space="preserve">, </w:t>
      </w:r>
      <w:r w:rsidRPr="001D3CE6">
        <w:rPr>
          <w:lang w:val="es-ES"/>
        </w:rPr>
        <w:t>Vacío legal</w:t>
      </w:r>
      <w:r w:rsidRPr="001D3CE6">
        <w:rPr>
          <w:lang w:val="es-ES"/>
        </w:rPr>
        <w:t xml:space="preserve">, </w:t>
      </w:r>
      <w:r w:rsidRPr="001D3CE6">
        <w:rPr>
          <w:lang w:val="es-ES"/>
        </w:rPr>
        <w:t>Interfaz digital</w:t>
      </w:r>
      <w:r w:rsidRPr="001D3CE6">
        <w:rPr>
          <w:lang w:val="es-ES"/>
        </w:rPr>
        <w:t xml:space="preserve">, </w:t>
      </w:r>
      <w:r w:rsidRPr="001D3CE6">
        <w:rPr>
          <w:lang w:val="es-ES"/>
        </w:rPr>
        <w:t>Comercio electrónico</w:t>
      </w:r>
      <w:r w:rsidRPr="001D3CE6">
        <w:rPr>
          <w:lang w:val="es-ES"/>
        </w:rPr>
        <w:t xml:space="preserve">, </w:t>
      </w:r>
      <w:r w:rsidRPr="001D3CE6">
        <w:rPr>
          <w:lang w:val="es-ES"/>
        </w:rPr>
        <w:t>Autonomía del consumidor</w:t>
      </w:r>
      <w:r w:rsidRPr="001D3CE6">
        <w:rPr>
          <w:lang w:val="es-ES"/>
        </w:rPr>
        <w:t>.</w:t>
      </w:r>
    </w:p>
    <w:p w14:paraId="523252EE" w14:textId="201362A0" w:rsidR="001D3CE6" w:rsidRPr="001D3CE6" w:rsidRDefault="001D3CE6" w:rsidP="001D3CE6">
      <w:pPr>
        <w:spacing w:line="300" w:lineRule="auto"/>
        <w:jc w:val="both"/>
        <w:rPr>
          <w:lang w:val="es-ES"/>
        </w:rPr>
      </w:pPr>
    </w:p>
    <w:p w14:paraId="4E12A428" w14:textId="179C484B" w:rsidR="00025B37" w:rsidRPr="001D3CE6" w:rsidRDefault="00025B37" w:rsidP="00025B37">
      <w:pPr>
        <w:pStyle w:val="NormalWeb"/>
        <w:spacing w:line="360" w:lineRule="auto"/>
        <w:jc w:val="both"/>
        <w:rPr>
          <w:b/>
          <w:bCs/>
          <w:lang w:val="es-ES"/>
        </w:rPr>
      </w:pPr>
    </w:p>
    <w:p w14:paraId="28B48A72" w14:textId="77777777" w:rsidR="00025B37" w:rsidRPr="001D3CE6" w:rsidRDefault="00025B37" w:rsidP="00025B37">
      <w:pPr>
        <w:pStyle w:val="NormalWeb"/>
        <w:spacing w:line="360" w:lineRule="auto"/>
        <w:jc w:val="both"/>
        <w:rPr>
          <w:lang w:val="es-ES"/>
        </w:rPr>
      </w:pPr>
    </w:p>
    <w:p w14:paraId="177DF10E" w14:textId="77777777" w:rsidR="00025B37" w:rsidRPr="001D3CE6" w:rsidRDefault="00025B37" w:rsidP="00025B37">
      <w:pPr>
        <w:pStyle w:val="NormalWeb"/>
        <w:spacing w:line="360" w:lineRule="auto"/>
        <w:jc w:val="both"/>
        <w:rPr>
          <w:lang w:val="es-ES"/>
        </w:rPr>
      </w:pPr>
    </w:p>
    <w:p w14:paraId="5C8B8724" w14:textId="77777777" w:rsidR="00025B37" w:rsidRPr="001D3CE6" w:rsidRDefault="00025B37" w:rsidP="00025B37">
      <w:pPr>
        <w:pStyle w:val="NormalWeb"/>
        <w:spacing w:line="360" w:lineRule="auto"/>
        <w:jc w:val="both"/>
        <w:rPr>
          <w:lang w:val="es-ES"/>
        </w:rPr>
      </w:pPr>
    </w:p>
    <w:p w14:paraId="5EF0609A" w14:textId="77777777" w:rsidR="00025B37" w:rsidRDefault="00025B37" w:rsidP="00025B37">
      <w:pPr>
        <w:pStyle w:val="pdq2pgselectionanchorcontainer"/>
        <w:spacing w:line="360" w:lineRule="auto"/>
        <w:jc w:val="both"/>
        <w:rPr>
          <w:lang w:val="es-ES"/>
        </w:rPr>
      </w:pPr>
    </w:p>
    <w:p w14:paraId="71572347" w14:textId="599B5A4A" w:rsidR="00025B37" w:rsidRPr="00025B37" w:rsidRDefault="00025B37" w:rsidP="00025B37">
      <w:pPr>
        <w:pStyle w:val="Heading1"/>
        <w:jc w:val="both"/>
        <w:rPr>
          <w:rFonts w:ascii="Times New Roman" w:hAnsi="Times New Roman" w:cs="Times New Roman"/>
          <w:sz w:val="28"/>
          <w:szCs w:val="28"/>
          <w:lang w:val="es-ES"/>
        </w:rPr>
      </w:pPr>
      <w:r>
        <w:rPr>
          <w:rFonts w:ascii="Times New Roman" w:hAnsi="Times New Roman" w:cs="Times New Roman"/>
          <w:sz w:val="28"/>
          <w:szCs w:val="28"/>
          <w:lang w:val="es-ES"/>
        </w:rPr>
        <w:t>Introducción</w:t>
      </w:r>
    </w:p>
    <w:p w14:paraId="094FCB47" w14:textId="46B6E40A" w:rsidR="00025B37" w:rsidRPr="003D429C" w:rsidRDefault="00025B37" w:rsidP="00025B37">
      <w:pPr>
        <w:pStyle w:val="pdq2pgselectionanchorcontainer"/>
        <w:spacing w:line="360" w:lineRule="auto"/>
        <w:jc w:val="both"/>
        <w:rPr>
          <w:lang w:val="es-ES"/>
        </w:rPr>
      </w:pPr>
      <w:r w:rsidRPr="003D429C">
        <w:rPr>
          <w:lang w:val="es-ES"/>
        </w:rPr>
        <w:t xml:space="preserve">El comercio electrónico dominicano ha incorporado, sin mayor resistencia normativa, interfaces digitales diseñadas para orientar —y en ocasiones torcer— la voluntad del consumidor mediante los llamados </w:t>
      </w:r>
      <w:r>
        <w:rPr>
          <w:lang w:val="es-ES"/>
        </w:rPr>
        <w:t>Dark Patterns</w:t>
      </w:r>
      <w:r w:rsidRPr="003D429C">
        <w:rPr>
          <w:lang w:val="es-ES"/>
        </w:rPr>
        <w:t>.</w:t>
      </w:r>
    </w:p>
    <w:p w14:paraId="55361991" w14:textId="77777777" w:rsidR="00025B37" w:rsidRPr="003D429C" w:rsidRDefault="00025B37" w:rsidP="00025B37">
      <w:pPr>
        <w:pStyle w:val="NormalWeb"/>
        <w:spacing w:line="360" w:lineRule="auto"/>
        <w:jc w:val="both"/>
        <w:rPr>
          <w:lang w:val="es-ES"/>
        </w:rPr>
      </w:pPr>
      <w:r w:rsidRPr="003D429C">
        <w:rPr>
          <w:lang w:val="es-ES"/>
        </w:rPr>
        <w:t>El problema de investigación parte de una constatación sencilla: la legislación dominicana de protección al consumidor fue concebida antes de la consolidación de las arquitecturas de elección personalizadas por algoritmos, por lo que no identifica ni sanciona expresamente estas prácticas.</w:t>
      </w:r>
    </w:p>
    <w:p w14:paraId="177FA10D" w14:textId="022B3435" w:rsidR="00025B37" w:rsidRPr="003D429C" w:rsidRDefault="00025B37" w:rsidP="00025B37">
      <w:pPr>
        <w:pStyle w:val="NormalWeb"/>
        <w:spacing w:line="360" w:lineRule="auto"/>
        <w:jc w:val="both"/>
        <w:rPr>
          <w:lang w:val="es-ES"/>
        </w:rPr>
      </w:pPr>
      <w:r w:rsidRPr="003D429C">
        <w:rPr>
          <w:lang w:val="es-ES"/>
        </w:rPr>
        <w:t>Frente a la pregunta de si el marco</w:t>
      </w:r>
      <w:r>
        <w:rPr>
          <w:lang w:val="es-ES"/>
        </w:rPr>
        <w:t xml:space="preserve"> legal</w:t>
      </w:r>
      <w:r w:rsidRPr="003D429C">
        <w:rPr>
          <w:lang w:val="es-ES"/>
        </w:rPr>
        <w:t xml:space="preserve"> dominicano resulta idóneo para enfrentar este fenómeno, el presente ensayo defiende la tesis según la cual dicho marco presenta vacíos legales estructurales que solo pueden superarse mediante una </w:t>
      </w:r>
      <w:r>
        <w:rPr>
          <w:lang w:val="es-ES"/>
        </w:rPr>
        <w:t>reforma</w:t>
      </w:r>
      <w:r w:rsidRPr="003D429C">
        <w:rPr>
          <w:lang w:val="es-ES"/>
        </w:rPr>
        <w:t xml:space="preserve"> normativa inspirada en </w:t>
      </w:r>
      <w:r>
        <w:rPr>
          <w:lang w:val="es-ES"/>
        </w:rPr>
        <w:t>el derecho comparado</w:t>
      </w:r>
      <w:r w:rsidRPr="003D429C">
        <w:rPr>
          <w:lang w:val="es-ES"/>
        </w:rPr>
        <w:t>.</w:t>
      </w:r>
      <w:r>
        <w:rPr>
          <w:lang w:val="es-ES"/>
        </w:rPr>
        <w:t xml:space="preserve"> </w:t>
      </w:r>
      <w:r w:rsidRPr="003D429C">
        <w:rPr>
          <w:lang w:val="es-ES"/>
        </w:rPr>
        <w:t>El objetivo general consiste en sustentar jurídicamente esa tesis a partir de la tipología del fenómeno, el examen del derecho vigente y el contraste con modelos regulatorios extranjeros.</w:t>
      </w:r>
    </w:p>
    <w:p w14:paraId="16522D3E" w14:textId="77777777" w:rsidR="00025B37" w:rsidRPr="00025B37" w:rsidRDefault="00025B37" w:rsidP="00025B37">
      <w:pPr>
        <w:pStyle w:val="Heading1"/>
        <w:jc w:val="both"/>
        <w:rPr>
          <w:rFonts w:ascii="Times New Roman" w:hAnsi="Times New Roman" w:cs="Times New Roman"/>
          <w:sz w:val="28"/>
          <w:szCs w:val="28"/>
          <w:lang w:val="es-ES"/>
        </w:rPr>
      </w:pPr>
      <w:r w:rsidRPr="00025B37">
        <w:rPr>
          <w:rFonts w:ascii="Times New Roman" w:hAnsi="Times New Roman" w:cs="Times New Roman"/>
          <w:sz w:val="28"/>
          <w:szCs w:val="28"/>
          <w:lang w:val="es-ES"/>
        </w:rPr>
        <w:t>Desarrollo</w:t>
      </w:r>
    </w:p>
    <w:p w14:paraId="699E5BDE" w14:textId="77777777" w:rsidR="00025B37" w:rsidRPr="003D429C" w:rsidRDefault="00025B37" w:rsidP="00025B37">
      <w:pPr>
        <w:pStyle w:val="NormalWeb"/>
        <w:spacing w:line="360" w:lineRule="auto"/>
        <w:jc w:val="both"/>
        <w:rPr>
          <w:lang w:val="es-ES"/>
        </w:rPr>
      </w:pPr>
      <w:r>
        <w:rPr>
          <w:lang w:val="es-ES"/>
        </w:rPr>
        <w:t xml:space="preserve">Los </w:t>
      </w:r>
      <w:r w:rsidRPr="003D429C">
        <w:rPr>
          <w:lang w:val="es-ES"/>
        </w:rPr>
        <w:t xml:space="preserve">proveedores que operan en plataformas digitales dirigidas al consumidor dominicano recurren, con una frecuencia difícil de ignorar, a </w:t>
      </w:r>
      <w:r w:rsidRPr="003D429C">
        <w:rPr>
          <w:i/>
          <w:iCs/>
          <w:lang w:val="es-ES"/>
        </w:rPr>
        <w:t>Dark Patterns</w:t>
      </w:r>
      <w:r w:rsidRPr="003D429C">
        <w:rPr>
          <w:lang w:val="es-ES"/>
        </w:rPr>
        <w:t xml:space="preserve"> como la urgencia falsa, la confirmación vergonzante y la continuidad forzada.</w:t>
      </w:r>
      <w:r>
        <w:rPr>
          <w:lang w:val="es-ES"/>
        </w:rPr>
        <w:t xml:space="preserve"> </w:t>
      </w:r>
      <w:r w:rsidRPr="003D429C">
        <w:rPr>
          <w:lang w:val="es-ES"/>
        </w:rPr>
        <w:t>Esta afirmación importa porque tales técnicas no constituyen meras estrategias de mercadeo agresivo, sino mecanismos deliberados de interferencia en el proceso de formación de la voluntad contractual.</w:t>
      </w:r>
    </w:p>
    <w:p w14:paraId="7B374443" w14:textId="3D08C804" w:rsidR="00025B37" w:rsidRPr="003D429C" w:rsidRDefault="00025B37" w:rsidP="00025B37">
      <w:pPr>
        <w:pStyle w:val="NormalWeb"/>
        <w:spacing w:line="360" w:lineRule="auto"/>
        <w:jc w:val="both"/>
        <w:rPr>
          <w:lang w:val="es-ES"/>
        </w:rPr>
      </w:pPr>
      <w:proofErr w:type="spellStart"/>
      <w:r w:rsidRPr="003D429C">
        <w:rPr>
          <w:lang w:val="es-ES"/>
        </w:rPr>
        <w:t>Mathur</w:t>
      </w:r>
      <w:proofErr w:type="spellEnd"/>
      <w:r w:rsidRPr="003D429C">
        <w:rPr>
          <w:lang w:val="es-ES"/>
        </w:rPr>
        <w:t xml:space="preserve"> y sus coautores demostraron, mediante el rastreo de miles de sitios de comercio electrónico, que estas prácticas están lejos de ser marginales y se presentan de forma sistemática en la arquitectura de numerosas </w:t>
      </w:r>
      <w:proofErr w:type="gramStart"/>
      <w:r w:rsidRPr="003D429C">
        <w:rPr>
          <w:lang w:val="es-ES"/>
        </w:rPr>
        <w:t>plataformas[</w:t>
      </w:r>
      <w:proofErr w:type="gramEnd"/>
      <w:r w:rsidRPr="003D429C">
        <w:rPr>
          <w:lang w:val="es-ES"/>
        </w:rPr>
        <w:t>1].</w:t>
      </w:r>
      <w:r>
        <w:rPr>
          <w:lang w:val="es-ES"/>
        </w:rPr>
        <w:t xml:space="preserve"> </w:t>
      </w:r>
      <w:r w:rsidRPr="003D429C">
        <w:rPr>
          <w:lang w:val="es-ES"/>
        </w:rPr>
        <w:t xml:space="preserve">En </w:t>
      </w:r>
      <w:r>
        <w:rPr>
          <w:lang w:val="es-ES"/>
        </w:rPr>
        <w:t>ese sentido,</w:t>
      </w:r>
      <w:r w:rsidRPr="003D429C">
        <w:rPr>
          <w:lang w:val="es-ES"/>
        </w:rPr>
        <w:t xml:space="preserve"> Di </w:t>
      </w:r>
      <w:proofErr w:type="spellStart"/>
      <w:r w:rsidRPr="003D429C">
        <w:rPr>
          <w:lang w:val="es-ES"/>
        </w:rPr>
        <w:t>Geronimo</w:t>
      </w:r>
      <w:proofErr w:type="spellEnd"/>
      <w:r w:rsidRPr="003D429C">
        <w:rPr>
          <w:lang w:val="es-ES"/>
        </w:rPr>
        <w:t xml:space="preserve"> y sus coautores </w:t>
      </w:r>
      <w:r w:rsidRPr="003D429C">
        <w:rPr>
          <w:lang w:val="es-ES"/>
        </w:rPr>
        <w:lastRenderedPageBreak/>
        <w:t xml:space="preserve">hallaron que la mayoría de las aplicaciones móviles analizadas contenía al menos un </w:t>
      </w:r>
      <w:r w:rsidRPr="00025B37">
        <w:rPr>
          <w:i/>
          <w:iCs/>
          <w:lang w:val="es-ES"/>
        </w:rPr>
        <w:t xml:space="preserve">Dark </w:t>
      </w:r>
      <w:proofErr w:type="spellStart"/>
      <w:r w:rsidRPr="00025B37">
        <w:rPr>
          <w:i/>
          <w:iCs/>
          <w:lang w:val="es-ES"/>
        </w:rPr>
        <w:t>Pattern</w:t>
      </w:r>
      <w:proofErr w:type="spellEnd"/>
      <w:r w:rsidRPr="003D429C">
        <w:rPr>
          <w:lang w:val="es-ES"/>
        </w:rPr>
        <w:t xml:space="preserve"> identificable y que los usuarios rara vez lograban reconocerlo como </w:t>
      </w:r>
      <w:proofErr w:type="gramStart"/>
      <w:r w:rsidRPr="003D429C">
        <w:rPr>
          <w:lang w:val="es-ES"/>
        </w:rPr>
        <w:t>tal[</w:t>
      </w:r>
      <w:proofErr w:type="gramEnd"/>
      <w:r w:rsidRPr="003D429C">
        <w:rPr>
          <w:lang w:val="es-ES"/>
        </w:rPr>
        <w:t>2].</w:t>
      </w:r>
    </w:p>
    <w:p w14:paraId="1242BEC5" w14:textId="77777777" w:rsidR="00025B37" w:rsidRPr="003D429C" w:rsidRDefault="00025B37" w:rsidP="00025B37">
      <w:pPr>
        <w:pStyle w:val="NormalWeb"/>
        <w:spacing w:line="360" w:lineRule="auto"/>
        <w:jc w:val="both"/>
        <w:rPr>
          <w:lang w:val="es-ES"/>
        </w:rPr>
      </w:pPr>
      <w:r w:rsidRPr="003D429C">
        <w:rPr>
          <w:lang w:val="es-ES"/>
        </w:rPr>
        <w:t xml:space="preserve">El caso </w:t>
      </w:r>
      <w:r w:rsidRPr="003D429C">
        <w:rPr>
          <w:rStyle w:val="Emphasis"/>
          <w:rFonts w:eastAsiaTheme="majorEastAsia"/>
          <w:lang w:val="es-ES"/>
        </w:rPr>
        <w:t xml:space="preserve">Federal </w:t>
      </w:r>
      <w:proofErr w:type="spellStart"/>
      <w:r w:rsidRPr="003D429C">
        <w:rPr>
          <w:rStyle w:val="Emphasis"/>
          <w:rFonts w:eastAsiaTheme="majorEastAsia"/>
          <w:lang w:val="es-ES"/>
        </w:rPr>
        <w:t>Trade</w:t>
      </w:r>
      <w:proofErr w:type="spellEnd"/>
      <w:r w:rsidRPr="003D429C">
        <w:rPr>
          <w:rStyle w:val="Emphasis"/>
          <w:rFonts w:eastAsiaTheme="majorEastAsia"/>
          <w:lang w:val="es-ES"/>
        </w:rPr>
        <w:t xml:space="preserve"> </w:t>
      </w:r>
      <w:proofErr w:type="spellStart"/>
      <w:r w:rsidRPr="003D429C">
        <w:rPr>
          <w:rStyle w:val="Emphasis"/>
          <w:rFonts w:eastAsiaTheme="majorEastAsia"/>
          <w:lang w:val="es-ES"/>
        </w:rPr>
        <w:t>Commission</w:t>
      </w:r>
      <w:proofErr w:type="spellEnd"/>
      <w:r w:rsidRPr="003D429C">
        <w:rPr>
          <w:rStyle w:val="Emphasis"/>
          <w:rFonts w:eastAsiaTheme="majorEastAsia"/>
          <w:lang w:val="es-ES"/>
        </w:rPr>
        <w:t xml:space="preserve"> v. Amazon.com, Inc.</w:t>
      </w:r>
      <w:r w:rsidRPr="003D429C">
        <w:rPr>
          <w:lang w:val="es-ES"/>
        </w:rPr>
        <w:t xml:space="preserve"> ilustra hasta qué punto estos diseños pueden llegar a estructurarse: un proceso de cancelación de suscripción que la propia agencia comparó, por su extensión, con la </w:t>
      </w:r>
      <w:r w:rsidRPr="003D429C">
        <w:rPr>
          <w:rStyle w:val="Emphasis"/>
          <w:rFonts w:eastAsiaTheme="majorEastAsia"/>
          <w:lang w:val="es-ES"/>
        </w:rPr>
        <w:t>Ilíada</w:t>
      </w:r>
      <w:r w:rsidRPr="003D429C">
        <w:rPr>
          <w:lang w:val="es-ES"/>
        </w:rPr>
        <w:t xml:space="preserve"> de </w:t>
      </w:r>
      <w:proofErr w:type="gramStart"/>
      <w:r w:rsidRPr="003D429C">
        <w:rPr>
          <w:lang w:val="es-ES"/>
        </w:rPr>
        <w:t>Homero[</w:t>
      </w:r>
      <w:proofErr w:type="gramEnd"/>
      <w:r w:rsidRPr="003D429C">
        <w:rPr>
          <w:lang w:val="es-ES"/>
        </w:rPr>
        <w:t>3].</w:t>
      </w:r>
      <w:r>
        <w:rPr>
          <w:lang w:val="es-ES"/>
        </w:rPr>
        <w:t xml:space="preserve"> En </w:t>
      </w:r>
      <w:r w:rsidRPr="003D429C">
        <w:rPr>
          <w:lang w:val="es-ES"/>
        </w:rPr>
        <w:t xml:space="preserve">consecuencia, </w:t>
      </w:r>
      <w:r>
        <w:rPr>
          <w:lang w:val="es-ES"/>
        </w:rPr>
        <w:t>se puede concluir que</w:t>
      </w:r>
      <w:r w:rsidRPr="003D429C">
        <w:rPr>
          <w:lang w:val="es-ES"/>
        </w:rPr>
        <w:t xml:space="preserve"> ignorar la prevalencia de estos patrones en el mercado dominicano equivaldría a subestimar un riesgo ya documentado empíricamente en contextos comparables.</w:t>
      </w:r>
    </w:p>
    <w:p w14:paraId="259D4BC8" w14:textId="77777777" w:rsidR="00025B37" w:rsidRPr="003D429C" w:rsidRDefault="00025B37" w:rsidP="00025B37">
      <w:pPr>
        <w:pStyle w:val="NormalWeb"/>
        <w:spacing w:line="360" w:lineRule="auto"/>
        <w:jc w:val="both"/>
        <w:rPr>
          <w:lang w:val="es-ES"/>
        </w:rPr>
      </w:pPr>
      <w:r w:rsidRPr="003D429C">
        <w:rPr>
          <w:lang w:val="es-ES"/>
        </w:rPr>
        <w:t xml:space="preserve">De igual manera, la Ley General de Protección de los Derechos del Consumidor o Usuario, núm. 358-05, resulta insuficiente para identificar y sancionar los </w:t>
      </w:r>
      <w:r w:rsidRPr="003D429C">
        <w:rPr>
          <w:i/>
          <w:iCs/>
          <w:lang w:val="es-ES"/>
        </w:rPr>
        <w:t>Dark Patterns</w:t>
      </w:r>
      <w:r w:rsidRPr="003D429C">
        <w:rPr>
          <w:lang w:val="es-ES"/>
        </w:rPr>
        <w:t>, no por ausencia total de vocación protectora, sino por su obsolescencia conceptual frente a las interfaces digitales contemporáneas.</w:t>
      </w:r>
      <w:r>
        <w:rPr>
          <w:lang w:val="es-ES"/>
        </w:rPr>
        <w:t xml:space="preserve"> </w:t>
      </w:r>
      <w:proofErr w:type="spellStart"/>
      <w:r w:rsidRPr="003D429C">
        <w:rPr>
          <w:lang w:val="es-ES"/>
        </w:rPr>
        <w:t>Robilliard</w:t>
      </w:r>
      <w:proofErr w:type="spellEnd"/>
      <w:r w:rsidRPr="003D429C">
        <w:rPr>
          <w:lang w:val="es-ES"/>
        </w:rPr>
        <w:t xml:space="preserve"> Silva ha explicado que los vacíos normativos frente a estas prácticas no derivan de la falta de normas de protección al consumidor, sino de que sus categorías centrales —el consentimiento informado y la buena fe comercial— fueron pensadas para el comercio </w:t>
      </w:r>
      <w:proofErr w:type="gramStart"/>
      <w:r w:rsidRPr="003D429C">
        <w:rPr>
          <w:lang w:val="es-ES"/>
        </w:rPr>
        <w:t>físico[</w:t>
      </w:r>
      <w:proofErr w:type="gramEnd"/>
      <w:r w:rsidRPr="003D429C">
        <w:rPr>
          <w:lang w:val="es-ES"/>
        </w:rPr>
        <w:t>4].</w:t>
      </w:r>
      <w:r>
        <w:rPr>
          <w:lang w:val="es-ES"/>
        </w:rPr>
        <w:t xml:space="preserve"> </w:t>
      </w:r>
      <w:proofErr w:type="spellStart"/>
      <w:r w:rsidRPr="003D429C">
        <w:rPr>
          <w:lang w:val="es-ES"/>
        </w:rPr>
        <w:t>Mik</w:t>
      </w:r>
      <w:proofErr w:type="spellEnd"/>
      <w:r w:rsidRPr="003D429C">
        <w:rPr>
          <w:lang w:val="es-ES"/>
        </w:rPr>
        <w:t xml:space="preserve"> añade que la amenaza a la autonomía del consumidor no proviene de una sola tecnología, sino del efecto combinado de múltiples mecanismos de diseño que actúan en cada etapa de la contratación </w:t>
      </w:r>
      <w:proofErr w:type="gramStart"/>
      <w:r w:rsidRPr="003D429C">
        <w:rPr>
          <w:lang w:val="es-ES"/>
        </w:rPr>
        <w:t>electrónica[</w:t>
      </w:r>
      <w:proofErr w:type="gramEnd"/>
      <w:r w:rsidRPr="003D429C">
        <w:rPr>
          <w:lang w:val="es-ES"/>
        </w:rPr>
        <w:t>5].</w:t>
      </w:r>
    </w:p>
    <w:p w14:paraId="1E7104AF" w14:textId="77777777" w:rsidR="00025B37" w:rsidRPr="003D429C" w:rsidRDefault="00025B37" w:rsidP="00025B37">
      <w:pPr>
        <w:pStyle w:val="NormalWeb"/>
        <w:spacing w:line="360" w:lineRule="auto"/>
        <w:jc w:val="both"/>
        <w:rPr>
          <w:lang w:val="es-ES"/>
        </w:rPr>
      </w:pPr>
      <w:r w:rsidRPr="003D429C">
        <w:rPr>
          <w:lang w:val="es-ES"/>
        </w:rPr>
        <w:t xml:space="preserve">El contraste resulta evidente frente al artículo 25 del Reglamento de Servicios Digitales de la Unión Europea, el cual dispone que los prestadores de plataformas en línea no diseñarán, organizarán ni gestionarán sus interfaces de manera que engañen o manipulen a los destinatarios del servicio, ni que menoscaben sustancialmente su capacidad para adoptar decisiones libres e </w:t>
      </w:r>
      <w:proofErr w:type="gramStart"/>
      <w:r w:rsidRPr="003D429C">
        <w:rPr>
          <w:lang w:val="es-ES"/>
        </w:rPr>
        <w:t>informadas[</w:t>
      </w:r>
      <w:proofErr w:type="gramEnd"/>
      <w:r w:rsidRPr="003D429C">
        <w:rPr>
          <w:lang w:val="es-ES"/>
        </w:rPr>
        <w:t>6].</w:t>
      </w:r>
      <w:r>
        <w:rPr>
          <w:lang w:val="es-ES"/>
        </w:rPr>
        <w:t xml:space="preserve"> </w:t>
      </w:r>
      <w:r w:rsidRPr="003D429C">
        <w:rPr>
          <w:lang w:val="es-ES"/>
        </w:rPr>
        <w:t>Se explica que la ausencia de una disposición equivalente en el derecho positivo dominicano constituye precisamente el vacío legal que da título a esta investigación y que dicho vacío no se subsana por la sola vía interpretativa.</w:t>
      </w:r>
    </w:p>
    <w:p w14:paraId="70CD7CEC" w14:textId="28796740" w:rsidR="00025B37" w:rsidRPr="003D429C" w:rsidRDefault="00025B37" w:rsidP="00025B37">
      <w:pPr>
        <w:jc w:val="both"/>
        <w:rPr>
          <w:lang w:val="es-ES"/>
        </w:rPr>
      </w:pPr>
      <w:r>
        <w:rPr>
          <w:lang w:val="es-ES"/>
        </w:rPr>
        <w:t>L</w:t>
      </w:r>
      <w:r w:rsidRPr="003D429C">
        <w:rPr>
          <w:lang w:val="es-ES"/>
        </w:rPr>
        <w:t>as experiencias regulatorias de la Unión Europea y de los Estados Unidos, aunque valiosas, no son trasplantables sin adaptación al ordenamiento dominicano.</w:t>
      </w:r>
      <w:r>
        <w:rPr>
          <w:lang w:val="es-ES"/>
        </w:rPr>
        <w:t xml:space="preserve"> </w:t>
      </w:r>
      <w:r w:rsidRPr="003D429C">
        <w:rPr>
          <w:lang w:val="es-ES"/>
        </w:rPr>
        <w:t xml:space="preserve">Luguri y Strahilevitz demostraron experimentalmente que los </w:t>
      </w:r>
      <w:r w:rsidRPr="003D429C">
        <w:rPr>
          <w:i/>
          <w:iCs/>
          <w:lang w:val="es-ES"/>
        </w:rPr>
        <w:t>Dark Patterns</w:t>
      </w:r>
      <w:r w:rsidRPr="003D429C">
        <w:rPr>
          <w:lang w:val="es-ES"/>
        </w:rPr>
        <w:t xml:space="preserve"> agresivos incrementan de forma significativa la tasa de consentimiento no deliberado de los usuarios, lo que justifica una intervención normativa robusta y no meramente declarativa [7].</w:t>
      </w:r>
    </w:p>
    <w:p w14:paraId="6FC13868" w14:textId="07F2B4B0" w:rsidR="00025B37" w:rsidRPr="003D429C" w:rsidRDefault="00025B37" w:rsidP="00025B37">
      <w:pPr>
        <w:pStyle w:val="NormalWeb"/>
        <w:spacing w:line="360" w:lineRule="auto"/>
        <w:jc w:val="both"/>
        <w:rPr>
          <w:lang w:val="es-ES"/>
        </w:rPr>
      </w:pPr>
      <w:r w:rsidRPr="003D429C">
        <w:rPr>
          <w:lang w:val="es-ES"/>
        </w:rPr>
        <w:lastRenderedPageBreak/>
        <w:t xml:space="preserve">Zac y sus coautores aportaron evidencia de que la vulnerabilidad frente a estos patrones no se concentra en subgrupos específicos de consumidores, sino que afecta de manera transversal a la generalidad de la población, argumento que respalda una protección de alcance general y no meramente </w:t>
      </w:r>
      <w:proofErr w:type="gramStart"/>
      <w:r w:rsidRPr="003D429C">
        <w:rPr>
          <w:lang w:val="es-ES"/>
        </w:rPr>
        <w:t>sectorial[</w:t>
      </w:r>
      <w:proofErr w:type="gramEnd"/>
      <w:r w:rsidRPr="003D429C">
        <w:rPr>
          <w:lang w:val="es-ES"/>
        </w:rPr>
        <w:t>8].</w:t>
      </w:r>
      <w:r>
        <w:rPr>
          <w:lang w:val="es-ES"/>
        </w:rPr>
        <w:t xml:space="preserve"> </w:t>
      </w:r>
      <w:r w:rsidRPr="003D429C">
        <w:rPr>
          <w:lang w:val="es-ES"/>
        </w:rPr>
        <w:t xml:space="preserve">Las deliberaciones de la Comisión Nacional de Informática y Libertades de Francia contra Google y </w:t>
      </w:r>
      <w:proofErr w:type="spellStart"/>
      <w:r w:rsidRPr="003D429C">
        <w:rPr>
          <w:lang w:val="es-ES"/>
        </w:rPr>
        <w:t>Shein</w:t>
      </w:r>
      <w:proofErr w:type="spellEnd"/>
      <w:r w:rsidRPr="003D429C">
        <w:rPr>
          <w:lang w:val="es-ES"/>
        </w:rPr>
        <w:t xml:space="preserve"> confirman, además, que un régimen sancionador eficaz exige autoridades dotadas de capacidad técnica de fiscalización de interfaces, capacidad de la que </w:t>
      </w:r>
      <w:proofErr w:type="gramStart"/>
      <w:r w:rsidRPr="003D429C">
        <w:rPr>
          <w:lang w:val="es-ES"/>
        </w:rPr>
        <w:t>Pro Consumidor</w:t>
      </w:r>
      <w:proofErr w:type="gramEnd"/>
      <w:r w:rsidRPr="003D429C">
        <w:rPr>
          <w:lang w:val="es-ES"/>
        </w:rPr>
        <w:t xml:space="preserve"> carece actualmente en esta materia </w:t>
      </w:r>
      <w:proofErr w:type="gramStart"/>
      <w:r w:rsidRPr="003D429C">
        <w:rPr>
          <w:lang w:val="es-ES"/>
        </w:rPr>
        <w:t>específica[</w:t>
      </w:r>
      <w:proofErr w:type="gramEnd"/>
      <w:r w:rsidRPr="003D429C">
        <w:rPr>
          <w:lang w:val="es-ES"/>
        </w:rPr>
        <w:t>9].</w:t>
      </w:r>
    </w:p>
    <w:p w14:paraId="629DD448" w14:textId="77777777" w:rsidR="00025B37" w:rsidRPr="003D429C" w:rsidRDefault="00025B37" w:rsidP="00025B37">
      <w:pPr>
        <w:pStyle w:val="NormalWeb"/>
        <w:spacing w:line="360" w:lineRule="auto"/>
        <w:jc w:val="both"/>
        <w:rPr>
          <w:lang w:val="es-ES"/>
        </w:rPr>
      </w:pPr>
      <w:r w:rsidRPr="003D429C">
        <w:rPr>
          <w:lang w:val="es-ES"/>
        </w:rPr>
        <w:t xml:space="preserve">Se </w:t>
      </w:r>
      <w:r>
        <w:rPr>
          <w:lang w:val="es-ES"/>
        </w:rPr>
        <w:t>entiende,</w:t>
      </w:r>
      <w:r w:rsidRPr="003D429C">
        <w:rPr>
          <w:lang w:val="es-ES"/>
        </w:rPr>
        <w:t xml:space="preserve"> por ello, que el modelo más adecuado para la República Dominicana combinaría la claridad normativa de la Ley de Servicios Digitales europea con el fortalecimiento institucional de </w:t>
      </w:r>
      <w:proofErr w:type="gramStart"/>
      <w:r w:rsidRPr="003D429C">
        <w:rPr>
          <w:lang w:val="es-ES"/>
        </w:rPr>
        <w:t>Pro Consumidor</w:t>
      </w:r>
      <w:proofErr w:type="gramEnd"/>
      <w:r w:rsidRPr="003D429C">
        <w:rPr>
          <w:lang w:val="es-ES"/>
        </w:rPr>
        <w:t>, antes que la réplica mecánica del modelo estadounidense basado en litigios.</w:t>
      </w:r>
    </w:p>
    <w:p w14:paraId="5BE5BA93" w14:textId="77777777" w:rsidR="00025B37" w:rsidRPr="003D429C" w:rsidRDefault="00025B37" w:rsidP="00025B37">
      <w:pPr>
        <w:pStyle w:val="NormalWeb"/>
        <w:spacing w:line="360" w:lineRule="auto"/>
        <w:jc w:val="both"/>
        <w:rPr>
          <w:lang w:val="es-ES"/>
        </w:rPr>
      </w:pPr>
      <w:r w:rsidRPr="003D429C">
        <w:rPr>
          <w:lang w:val="es-ES"/>
        </w:rPr>
        <w:t xml:space="preserve">La lectura conjunta de los tres ejes desarrollados permite sostener que el problema dominicano frente a los </w:t>
      </w:r>
      <w:r>
        <w:rPr>
          <w:lang w:val="es-ES"/>
        </w:rPr>
        <w:t>Dark Patterns</w:t>
      </w:r>
      <w:r w:rsidRPr="003D429C">
        <w:rPr>
          <w:lang w:val="es-ES"/>
        </w:rPr>
        <w:t xml:space="preserve"> no es de naturaleza fáctica, sino normativa: el fenómeno existe y ha sido documentado internacionalmente, pero el ordenamiento carece de las categorías jurídicas necesarias para nombrarlo y sancionarlo con precisión.</w:t>
      </w:r>
    </w:p>
    <w:p w14:paraId="30A44BF9" w14:textId="3AF3925B" w:rsidR="00025B37" w:rsidRPr="003D429C" w:rsidRDefault="00025B37" w:rsidP="00025B37">
      <w:pPr>
        <w:pStyle w:val="NormalWeb"/>
        <w:spacing w:line="360" w:lineRule="auto"/>
        <w:jc w:val="both"/>
        <w:rPr>
          <w:lang w:val="es-ES"/>
        </w:rPr>
      </w:pPr>
      <w:r w:rsidRPr="003D429C">
        <w:rPr>
          <w:lang w:val="es-ES"/>
        </w:rPr>
        <w:t xml:space="preserve">Esta conclusión se apoya en el carácter de orden público que el artículo 2 de la Ley núm. 358-05 atribuye a las normas de protección al consumidor, lo cual permitiría, en principio, una interpretación extensiva de figuras como la práctica comercial </w:t>
      </w:r>
      <w:proofErr w:type="gramStart"/>
      <w:r w:rsidRPr="003D429C">
        <w:rPr>
          <w:lang w:val="es-ES"/>
        </w:rPr>
        <w:t>desleal[</w:t>
      </w:r>
      <w:proofErr w:type="gramEnd"/>
      <w:r w:rsidRPr="003D429C">
        <w:rPr>
          <w:lang w:val="es-ES"/>
        </w:rPr>
        <w:t>10].</w:t>
      </w:r>
      <w:r>
        <w:rPr>
          <w:lang w:val="es-ES"/>
        </w:rPr>
        <w:t xml:space="preserve"> </w:t>
      </w:r>
      <w:r w:rsidRPr="003D429C">
        <w:rPr>
          <w:lang w:val="es-ES"/>
        </w:rPr>
        <w:t>Sin perjuicio de ello, se considera que la sola interpretación extensiva resulta insuficiente frente a un fenómeno tecnológicamente sofisticado, pues expone a los tribunales dominicanos al riesgo de decisiones dispares ante casos sustancialmente idénticos, debido a la ausencia de una tipificación específica de la conducta.</w:t>
      </w:r>
    </w:p>
    <w:p w14:paraId="2A036DDE" w14:textId="77777777" w:rsidR="00025B37" w:rsidRPr="003D429C" w:rsidRDefault="00025B37" w:rsidP="00025B37">
      <w:pPr>
        <w:pStyle w:val="NormalWeb"/>
        <w:spacing w:line="360" w:lineRule="auto"/>
        <w:jc w:val="both"/>
        <w:rPr>
          <w:lang w:val="es-ES"/>
        </w:rPr>
      </w:pPr>
      <w:r w:rsidRPr="003D429C">
        <w:rPr>
          <w:lang w:val="es-ES"/>
        </w:rPr>
        <w:t xml:space="preserve">Se considera, además, que la fundamentación constitucional contenida en el artículo 53 de la Constitución dominicana ofrece una base normativa suficientemente sólida para sustentar una reforma legal específica sobre </w:t>
      </w:r>
      <w:r>
        <w:rPr>
          <w:i/>
          <w:iCs/>
          <w:lang w:val="es-ES"/>
        </w:rPr>
        <w:t>Dark Patterns</w:t>
      </w:r>
      <w:r w:rsidRPr="003D429C">
        <w:rPr>
          <w:lang w:val="es-ES"/>
        </w:rPr>
        <w:t xml:space="preserve">, en la medida en que dicho artículo consagra el derecho a una información objetiva, veraz y oportuna como derecho </w:t>
      </w:r>
      <w:proofErr w:type="gramStart"/>
      <w:r w:rsidRPr="003D429C">
        <w:rPr>
          <w:lang w:val="es-ES"/>
        </w:rPr>
        <w:t>fundamental[</w:t>
      </w:r>
      <w:proofErr w:type="gramEnd"/>
      <w:r w:rsidRPr="003D429C">
        <w:rPr>
          <w:lang w:val="es-ES"/>
        </w:rPr>
        <w:t>11].</w:t>
      </w:r>
    </w:p>
    <w:p w14:paraId="609AB264" w14:textId="77777777" w:rsidR="00025B37" w:rsidRPr="003D429C" w:rsidRDefault="00025B37" w:rsidP="00025B37">
      <w:pPr>
        <w:pStyle w:val="NormalWeb"/>
        <w:spacing w:line="360" w:lineRule="auto"/>
        <w:jc w:val="both"/>
        <w:rPr>
          <w:lang w:val="es-ES"/>
        </w:rPr>
      </w:pPr>
      <w:r w:rsidRPr="003D429C">
        <w:rPr>
          <w:lang w:val="es-ES"/>
        </w:rPr>
        <w:t xml:space="preserve">A partir de esa base, se estima jurídicamente viable —y necesaria— la incorporación de una cláusula general prohibitiva de los </w:t>
      </w:r>
      <w:r>
        <w:rPr>
          <w:lang w:val="es-ES"/>
        </w:rPr>
        <w:t>Dark Patterns</w:t>
      </w:r>
      <w:r w:rsidRPr="003D429C">
        <w:rPr>
          <w:lang w:val="es-ES"/>
        </w:rPr>
        <w:t xml:space="preserve"> dentro de la Ley núm. 358-05, complementada </w:t>
      </w:r>
      <w:r w:rsidRPr="003D429C">
        <w:rPr>
          <w:lang w:val="es-ES"/>
        </w:rPr>
        <w:lastRenderedPageBreak/>
        <w:t xml:space="preserve">con facultades de fiscalización técnica para </w:t>
      </w:r>
      <w:proofErr w:type="gramStart"/>
      <w:r w:rsidRPr="003D429C">
        <w:rPr>
          <w:lang w:val="es-ES"/>
        </w:rPr>
        <w:t>Pro Consumidor</w:t>
      </w:r>
      <w:proofErr w:type="gramEnd"/>
      <w:r w:rsidRPr="003D429C">
        <w:rPr>
          <w:lang w:val="es-ES"/>
        </w:rPr>
        <w:t>, en línea con el modelo europeo examinado.</w:t>
      </w:r>
    </w:p>
    <w:p w14:paraId="7554C673" w14:textId="77777777" w:rsidR="00025B37" w:rsidRPr="00025B37" w:rsidRDefault="00025B37" w:rsidP="00025B37">
      <w:pPr>
        <w:pStyle w:val="Heading1"/>
        <w:jc w:val="both"/>
        <w:rPr>
          <w:rFonts w:ascii="Times New Roman" w:hAnsi="Times New Roman" w:cs="Times New Roman"/>
          <w:sz w:val="32"/>
          <w:szCs w:val="32"/>
          <w:lang w:val="es-ES"/>
        </w:rPr>
      </w:pPr>
      <w:r w:rsidRPr="00025B37">
        <w:rPr>
          <w:rFonts w:ascii="Times New Roman" w:hAnsi="Times New Roman" w:cs="Times New Roman"/>
          <w:sz w:val="32"/>
          <w:szCs w:val="32"/>
          <w:lang w:val="es-ES"/>
        </w:rPr>
        <w:t>Conclusiones</w:t>
      </w:r>
    </w:p>
    <w:p w14:paraId="504E2B41" w14:textId="3BE25107" w:rsidR="00025B37" w:rsidRPr="003D429C" w:rsidRDefault="00025B37" w:rsidP="00025B37">
      <w:pPr>
        <w:pStyle w:val="NormalWeb"/>
        <w:spacing w:line="360" w:lineRule="auto"/>
        <w:jc w:val="both"/>
        <w:rPr>
          <w:lang w:val="es-ES"/>
        </w:rPr>
      </w:pPr>
      <w:r>
        <w:rPr>
          <w:lang w:val="es-ES"/>
        </w:rPr>
        <w:t>En el marco final de este ensayo,</w:t>
      </w:r>
      <w:r w:rsidRPr="003D429C">
        <w:rPr>
          <w:lang w:val="es-ES"/>
        </w:rPr>
        <w:t xml:space="preserve"> se concluye que </w:t>
      </w:r>
      <w:r>
        <w:rPr>
          <w:lang w:val="es-ES"/>
        </w:rPr>
        <w:t xml:space="preserve">la normativa </w:t>
      </w:r>
      <w:r w:rsidRPr="003D429C">
        <w:rPr>
          <w:lang w:val="es-ES"/>
        </w:rPr>
        <w:t>dominican</w:t>
      </w:r>
      <w:r>
        <w:rPr>
          <w:lang w:val="es-ES"/>
        </w:rPr>
        <w:t>a</w:t>
      </w:r>
      <w:r w:rsidRPr="003D429C">
        <w:rPr>
          <w:lang w:val="es-ES"/>
        </w:rPr>
        <w:t xml:space="preserve"> presenta vacíos legales significativos frente al uso de </w:t>
      </w:r>
      <w:r>
        <w:rPr>
          <w:lang w:val="es-ES"/>
        </w:rPr>
        <w:t>Dark Patterns</w:t>
      </w:r>
      <w:r w:rsidRPr="003D429C">
        <w:rPr>
          <w:lang w:val="es-ES"/>
        </w:rPr>
        <w:t>, en la medida en que sus principales instrumentos normativos —la Ley núm. 358-05, la Ley núm. 126-02 y la Ley núm. 172-13— fueron concebidos con anterioridad a la consolidación de las interfaces digitales personalizadas y no contienen referencia expresa a estas prácticas</w:t>
      </w:r>
      <w:r>
        <w:rPr>
          <w:lang w:val="es-ES"/>
        </w:rPr>
        <w:t xml:space="preserve"> que afectan a los consumidores digitales.</w:t>
      </w:r>
    </w:p>
    <w:p w14:paraId="0E7041E4" w14:textId="77777777" w:rsidR="00025B37" w:rsidRDefault="00025B37" w:rsidP="00025B37">
      <w:pPr>
        <w:pStyle w:val="NormalWeb"/>
        <w:spacing w:line="360" w:lineRule="auto"/>
        <w:jc w:val="both"/>
        <w:rPr>
          <w:lang w:val="es-ES"/>
        </w:rPr>
      </w:pPr>
      <w:r w:rsidRPr="003D429C">
        <w:rPr>
          <w:lang w:val="es-ES"/>
        </w:rPr>
        <w:t>El desafío central identificado no es la ausencia de fundamento constitucional, sino la falta de tipificación legal específica y de capacidad institucional de fiscalización técnica, dos deficiencias confirmadas tanto por la doctrina comparada revisada como por el examen de la legislación dominicana vigente</w:t>
      </w:r>
      <w:r>
        <w:rPr>
          <w:lang w:val="es-ES"/>
        </w:rPr>
        <w:t xml:space="preserve">. </w:t>
      </w:r>
    </w:p>
    <w:p w14:paraId="5896DEE3" w14:textId="4EFCDE18" w:rsidR="00025B37" w:rsidRDefault="00025B37" w:rsidP="00025B37">
      <w:pPr>
        <w:pStyle w:val="NormalWeb"/>
        <w:spacing w:line="360" w:lineRule="auto"/>
        <w:jc w:val="both"/>
        <w:rPr>
          <w:lang w:val="es-ES"/>
        </w:rPr>
      </w:pPr>
      <w:r>
        <w:rPr>
          <w:lang w:val="es-ES"/>
        </w:rPr>
        <w:t>E</w:t>
      </w:r>
      <w:r w:rsidRPr="00025B37">
        <w:rPr>
          <w:lang w:val="es-ES"/>
        </w:rPr>
        <w:t xml:space="preserve">l aporte de la presente investigación radica en la importancia de actualizar el marco legal vigente, con el fin de que éste se adapte a las necesidades actuales generadas por la consolidación de la digitalización en el entorno </w:t>
      </w:r>
      <w:r w:rsidRPr="00025B37">
        <w:rPr>
          <w:lang w:val="es-ES"/>
        </w:rPr>
        <w:t>comercial, logrando</w:t>
      </w:r>
      <w:r w:rsidRPr="00025B37">
        <w:rPr>
          <w:lang w:val="es-ES"/>
        </w:rPr>
        <w:t xml:space="preserve"> una tutela efectiva de los derechos de los consumidores, los cuales se ven afectados por la falta de regulación de las prácticas surgidas dentro de este nuevo entorno</w:t>
      </w:r>
      <w:r>
        <w:rPr>
          <w:lang w:val="es-ES"/>
        </w:rPr>
        <w:t>.</w:t>
      </w:r>
    </w:p>
    <w:p w14:paraId="2EF197C9" w14:textId="77777777" w:rsidR="00025B37" w:rsidRDefault="00025B37" w:rsidP="00025B37">
      <w:pPr>
        <w:pStyle w:val="NormalWeb"/>
        <w:spacing w:line="360" w:lineRule="auto"/>
        <w:jc w:val="both"/>
        <w:rPr>
          <w:lang w:val="es-ES"/>
        </w:rPr>
      </w:pPr>
    </w:p>
    <w:p w14:paraId="0558D463" w14:textId="77777777" w:rsidR="00025B37" w:rsidRDefault="00025B37" w:rsidP="00025B37">
      <w:pPr>
        <w:pStyle w:val="NormalWeb"/>
        <w:jc w:val="both"/>
        <w:rPr>
          <w:lang w:val="es-ES"/>
        </w:rPr>
      </w:pPr>
    </w:p>
    <w:p w14:paraId="7CBF38BF" w14:textId="77777777" w:rsidR="00025B37" w:rsidRDefault="00025B37" w:rsidP="00025B37">
      <w:pPr>
        <w:pStyle w:val="NormalWeb"/>
        <w:jc w:val="both"/>
        <w:rPr>
          <w:lang w:val="es-ES"/>
        </w:rPr>
      </w:pPr>
    </w:p>
    <w:p w14:paraId="0CFB31BE" w14:textId="77777777" w:rsidR="00025B37" w:rsidRDefault="00025B37" w:rsidP="00025B37">
      <w:pPr>
        <w:pStyle w:val="NormalWeb"/>
        <w:jc w:val="both"/>
        <w:rPr>
          <w:lang w:val="es-ES"/>
        </w:rPr>
      </w:pPr>
    </w:p>
    <w:p w14:paraId="4C816CF3" w14:textId="77777777" w:rsidR="00025B37" w:rsidRDefault="00025B37" w:rsidP="00025B37">
      <w:pPr>
        <w:pStyle w:val="NormalWeb"/>
        <w:jc w:val="both"/>
        <w:rPr>
          <w:lang w:val="es-ES"/>
        </w:rPr>
      </w:pPr>
    </w:p>
    <w:p w14:paraId="01BE8A2A" w14:textId="77777777" w:rsidR="00025B37" w:rsidRDefault="00025B37" w:rsidP="00025B37">
      <w:pPr>
        <w:pStyle w:val="NormalWeb"/>
        <w:jc w:val="both"/>
        <w:rPr>
          <w:lang w:val="es-ES"/>
        </w:rPr>
      </w:pPr>
    </w:p>
    <w:p w14:paraId="43BB3869" w14:textId="77777777" w:rsidR="00025B37" w:rsidRDefault="00025B37" w:rsidP="00025B37">
      <w:pPr>
        <w:pStyle w:val="NormalWeb"/>
        <w:jc w:val="both"/>
        <w:rPr>
          <w:lang w:val="es-ES"/>
        </w:rPr>
      </w:pPr>
    </w:p>
    <w:p w14:paraId="60DB8248" w14:textId="77777777" w:rsidR="00025B37" w:rsidRDefault="00025B37" w:rsidP="00025B37">
      <w:pPr>
        <w:pStyle w:val="NormalWeb"/>
        <w:jc w:val="both"/>
        <w:rPr>
          <w:lang w:val="es-ES"/>
        </w:rPr>
      </w:pPr>
    </w:p>
    <w:p w14:paraId="0F56D0E1" w14:textId="77777777" w:rsidR="00025B37" w:rsidRDefault="00025B37" w:rsidP="00025B37">
      <w:pPr>
        <w:pStyle w:val="NormalWeb"/>
        <w:jc w:val="both"/>
        <w:rPr>
          <w:lang w:val="es-ES"/>
        </w:rPr>
      </w:pPr>
    </w:p>
    <w:p w14:paraId="3BD88FB0" w14:textId="77777777" w:rsidR="00025B37" w:rsidRDefault="00025B37" w:rsidP="00025B37">
      <w:pPr>
        <w:pStyle w:val="NormalWeb"/>
        <w:jc w:val="both"/>
        <w:rPr>
          <w:lang w:val="es-ES"/>
        </w:rPr>
      </w:pPr>
    </w:p>
    <w:p w14:paraId="7E0D35D7" w14:textId="77777777" w:rsidR="00025B37" w:rsidRDefault="00025B37" w:rsidP="00025B37">
      <w:pPr>
        <w:pStyle w:val="NormalWeb"/>
        <w:jc w:val="both"/>
        <w:rPr>
          <w:lang w:val="es-ES"/>
        </w:rPr>
      </w:pPr>
    </w:p>
    <w:p w14:paraId="5BD77051" w14:textId="77777777" w:rsidR="00025B37" w:rsidRPr="003D429C" w:rsidRDefault="00025B37" w:rsidP="00025B37">
      <w:pPr>
        <w:pStyle w:val="NormalWeb"/>
        <w:jc w:val="both"/>
        <w:rPr>
          <w:lang w:val="es-ES"/>
        </w:rPr>
      </w:pPr>
    </w:p>
    <w:p w14:paraId="72FCACF6" w14:textId="77777777" w:rsidR="00025B37" w:rsidRPr="00025B37" w:rsidRDefault="00025B37" w:rsidP="00025B37">
      <w:pPr>
        <w:pStyle w:val="Heading1"/>
        <w:jc w:val="both"/>
        <w:rPr>
          <w:rFonts w:ascii="Times New Roman" w:hAnsi="Times New Roman" w:cs="Times New Roman"/>
          <w:sz w:val="32"/>
          <w:szCs w:val="32"/>
          <w:lang w:val="es-ES"/>
        </w:rPr>
      </w:pPr>
      <w:r w:rsidRPr="00025B37">
        <w:rPr>
          <w:rFonts w:ascii="Times New Roman" w:hAnsi="Times New Roman" w:cs="Times New Roman"/>
          <w:sz w:val="32"/>
          <w:szCs w:val="32"/>
          <w:lang w:val="es-ES"/>
        </w:rPr>
        <w:t>Bibliografía</w:t>
      </w:r>
    </w:p>
    <w:p w14:paraId="62845BE4" w14:textId="77777777" w:rsidR="00025B37" w:rsidRDefault="00025B37" w:rsidP="00025B37">
      <w:pPr>
        <w:numPr>
          <w:ilvl w:val="0"/>
          <w:numId w:val="1"/>
        </w:numPr>
        <w:spacing w:before="100" w:beforeAutospacing="1" w:after="100" w:afterAutospacing="1" w:line="240" w:lineRule="auto"/>
        <w:jc w:val="both"/>
      </w:pPr>
      <w:r w:rsidRPr="003D429C">
        <w:rPr>
          <w:lang w:val="es-ES"/>
        </w:rPr>
        <w:t xml:space="preserve">Comisión Nacional de Informática y Libertades de Francia (CNIL). </w:t>
      </w:r>
      <w:proofErr w:type="spellStart"/>
      <w:r>
        <w:rPr>
          <w:rStyle w:val="Emphasis"/>
          <w:rFonts w:eastAsiaTheme="majorEastAsia"/>
        </w:rPr>
        <w:t>Délibération</w:t>
      </w:r>
      <w:proofErr w:type="spellEnd"/>
      <w:r>
        <w:rPr>
          <w:rStyle w:val="Emphasis"/>
          <w:rFonts w:eastAsiaTheme="majorEastAsia"/>
        </w:rPr>
        <w:t xml:space="preserve"> du 3 </w:t>
      </w:r>
      <w:proofErr w:type="spellStart"/>
      <w:r>
        <w:rPr>
          <w:rStyle w:val="Emphasis"/>
          <w:rFonts w:eastAsiaTheme="majorEastAsia"/>
        </w:rPr>
        <w:t>septembre</w:t>
      </w:r>
      <w:proofErr w:type="spellEnd"/>
      <w:r>
        <w:rPr>
          <w:rStyle w:val="Emphasis"/>
          <w:rFonts w:eastAsiaTheme="majorEastAsia"/>
        </w:rPr>
        <w:t xml:space="preserve"> 2025 </w:t>
      </w:r>
      <w:proofErr w:type="spellStart"/>
      <w:r>
        <w:rPr>
          <w:rStyle w:val="Emphasis"/>
          <w:rFonts w:eastAsiaTheme="majorEastAsia"/>
        </w:rPr>
        <w:t>concernant</w:t>
      </w:r>
      <w:proofErr w:type="spellEnd"/>
      <w:r>
        <w:rPr>
          <w:rStyle w:val="Emphasis"/>
          <w:rFonts w:eastAsiaTheme="majorEastAsia"/>
        </w:rPr>
        <w:t xml:space="preserve"> Google LLC et Shein.</w:t>
      </w:r>
      <w:r>
        <w:t xml:space="preserve"> </w:t>
      </w:r>
    </w:p>
    <w:p w14:paraId="0AC623B5" w14:textId="77777777" w:rsidR="00025B37" w:rsidRPr="003D429C" w:rsidRDefault="00025B37" w:rsidP="00025B37">
      <w:pPr>
        <w:numPr>
          <w:ilvl w:val="0"/>
          <w:numId w:val="1"/>
        </w:numPr>
        <w:spacing w:before="100" w:beforeAutospacing="1" w:after="100" w:afterAutospacing="1" w:line="240" w:lineRule="auto"/>
        <w:jc w:val="both"/>
        <w:rPr>
          <w:lang w:val="es-ES"/>
        </w:rPr>
      </w:pPr>
      <w:r w:rsidRPr="003D429C">
        <w:rPr>
          <w:lang w:val="es-ES"/>
        </w:rPr>
        <w:t xml:space="preserve">Constitución de la República Dominicana. Proclamada el 26 de enero de 2010. </w:t>
      </w:r>
    </w:p>
    <w:p w14:paraId="6E547D1D" w14:textId="77777777" w:rsidR="00025B37" w:rsidRDefault="00025B37" w:rsidP="00025B37">
      <w:pPr>
        <w:numPr>
          <w:ilvl w:val="0"/>
          <w:numId w:val="1"/>
        </w:numPr>
        <w:spacing w:before="100" w:beforeAutospacing="1" w:after="100" w:afterAutospacing="1" w:line="240" w:lineRule="auto"/>
        <w:jc w:val="both"/>
      </w:pPr>
      <w:r w:rsidRPr="003D429C">
        <w:rPr>
          <w:lang w:val="es-ES"/>
        </w:rPr>
        <w:t xml:space="preserve">Di </w:t>
      </w:r>
      <w:proofErr w:type="spellStart"/>
      <w:r w:rsidRPr="003D429C">
        <w:rPr>
          <w:lang w:val="es-ES"/>
        </w:rPr>
        <w:t>Geronimo</w:t>
      </w:r>
      <w:proofErr w:type="spellEnd"/>
      <w:r w:rsidRPr="003D429C">
        <w:rPr>
          <w:lang w:val="es-ES"/>
        </w:rPr>
        <w:t xml:space="preserve">, Linda, Larissa </w:t>
      </w:r>
      <w:proofErr w:type="spellStart"/>
      <w:r w:rsidRPr="003D429C">
        <w:rPr>
          <w:lang w:val="es-ES"/>
        </w:rPr>
        <w:t>Braz</w:t>
      </w:r>
      <w:proofErr w:type="spellEnd"/>
      <w:r w:rsidRPr="003D429C">
        <w:rPr>
          <w:lang w:val="es-ES"/>
        </w:rPr>
        <w:t xml:space="preserve">, Enrico </w:t>
      </w:r>
      <w:proofErr w:type="spellStart"/>
      <w:r w:rsidRPr="003D429C">
        <w:rPr>
          <w:lang w:val="es-ES"/>
        </w:rPr>
        <w:t>Fregnan</w:t>
      </w:r>
      <w:proofErr w:type="spellEnd"/>
      <w:r w:rsidRPr="003D429C">
        <w:rPr>
          <w:lang w:val="es-ES"/>
        </w:rPr>
        <w:t xml:space="preserve">, Fabio </w:t>
      </w:r>
      <w:proofErr w:type="spellStart"/>
      <w:r w:rsidRPr="003D429C">
        <w:rPr>
          <w:lang w:val="es-ES"/>
        </w:rPr>
        <w:t>Palomba</w:t>
      </w:r>
      <w:proofErr w:type="spellEnd"/>
      <w:r w:rsidRPr="003D429C">
        <w:rPr>
          <w:lang w:val="es-ES"/>
        </w:rPr>
        <w:t xml:space="preserve"> y Alberto </w:t>
      </w:r>
      <w:proofErr w:type="spellStart"/>
      <w:r w:rsidRPr="003D429C">
        <w:rPr>
          <w:lang w:val="es-ES"/>
        </w:rPr>
        <w:t>Bacchelli</w:t>
      </w:r>
      <w:proofErr w:type="spellEnd"/>
      <w:r w:rsidRPr="003D429C">
        <w:rPr>
          <w:lang w:val="es-ES"/>
        </w:rPr>
        <w:t xml:space="preserve">. </w:t>
      </w:r>
      <w:r>
        <w:rPr>
          <w:rStyle w:val="Emphasis"/>
          <w:rFonts w:eastAsiaTheme="majorEastAsia"/>
        </w:rPr>
        <w:t>UI Dark Patterns and Where to Find Them: A Study on Mobile Applications and User Perception</w:t>
      </w:r>
      <w:r>
        <w:t xml:space="preserve">. Proceedings of the 2020 CHI Conference on Human Factors in Computing Systems. Nueva York: Association for Computing Machinery, 2020. </w:t>
      </w:r>
    </w:p>
    <w:p w14:paraId="3A50C1BD" w14:textId="77777777" w:rsidR="00025B37" w:rsidRDefault="00025B37" w:rsidP="00025B37">
      <w:pPr>
        <w:numPr>
          <w:ilvl w:val="0"/>
          <w:numId w:val="1"/>
        </w:numPr>
        <w:spacing w:before="100" w:beforeAutospacing="1" w:after="100" w:afterAutospacing="1" w:line="240" w:lineRule="auto"/>
        <w:jc w:val="both"/>
      </w:pPr>
      <w:r>
        <w:t xml:space="preserve">Federal Trade Commission v. Amazon.com, Inc., Neil Lindsay, Russell Grandinetti y Jamil Ghani. Causa </w:t>
      </w:r>
      <w:proofErr w:type="spellStart"/>
      <w:r>
        <w:t>núm</w:t>
      </w:r>
      <w:proofErr w:type="spellEnd"/>
      <w:r>
        <w:t xml:space="preserve">. 2:23-cv-00932 (W.D. Wash., 25 de </w:t>
      </w:r>
      <w:proofErr w:type="spellStart"/>
      <w:r>
        <w:t>septiembre</w:t>
      </w:r>
      <w:proofErr w:type="spellEnd"/>
      <w:r>
        <w:t xml:space="preserve"> de 2025). </w:t>
      </w:r>
    </w:p>
    <w:p w14:paraId="47254168" w14:textId="77777777" w:rsidR="00025B37" w:rsidRDefault="00025B37" w:rsidP="00025B37">
      <w:pPr>
        <w:numPr>
          <w:ilvl w:val="0"/>
          <w:numId w:val="1"/>
        </w:numPr>
        <w:spacing w:before="100" w:beforeAutospacing="1" w:after="100" w:afterAutospacing="1" w:line="240" w:lineRule="auto"/>
        <w:jc w:val="both"/>
      </w:pPr>
      <w:r w:rsidRPr="003D429C">
        <w:rPr>
          <w:lang w:val="es-ES"/>
        </w:rPr>
        <w:t xml:space="preserve">Luguri, Jamie y </w:t>
      </w:r>
      <w:proofErr w:type="spellStart"/>
      <w:r w:rsidRPr="003D429C">
        <w:rPr>
          <w:lang w:val="es-ES"/>
        </w:rPr>
        <w:t>Lior</w:t>
      </w:r>
      <w:proofErr w:type="spellEnd"/>
      <w:r w:rsidRPr="003D429C">
        <w:rPr>
          <w:lang w:val="es-ES"/>
        </w:rPr>
        <w:t xml:space="preserve"> Jacob Strahilevitz. </w:t>
      </w:r>
      <w:r>
        <w:rPr>
          <w:rStyle w:val="Emphasis"/>
          <w:rFonts w:eastAsiaTheme="majorEastAsia"/>
        </w:rPr>
        <w:t>Shining a Light on Dark Patterns</w:t>
      </w:r>
      <w:r>
        <w:t xml:space="preserve">. Journal of Legal Analysis, 13(1), 2021. </w:t>
      </w:r>
    </w:p>
    <w:p w14:paraId="7B4B1323" w14:textId="77777777" w:rsidR="00025B37" w:rsidRDefault="00025B37" w:rsidP="00025B37">
      <w:pPr>
        <w:numPr>
          <w:ilvl w:val="0"/>
          <w:numId w:val="1"/>
        </w:numPr>
        <w:spacing w:before="100" w:beforeAutospacing="1" w:after="100" w:afterAutospacing="1" w:line="240" w:lineRule="auto"/>
        <w:jc w:val="both"/>
      </w:pPr>
      <w:r>
        <w:t xml:space="preserve">Mathur, Arunesh, et al. </w:t>
      </w:r>
      <w:r>
        <w:rPr>
          <w:rStyle w:val="Emphasis"/>
          <w:rFonts w:eastAsiaTheme="majorEastAsia"/>
        </w:rPr>
        <w:t>Dark Patterns at Scale: Findings from a Crawl of 11K Shopping Websites</w:t>
      </w:r>
      <w:r>
        <w:t xml:space="preserve">. Proceedings of the ACM on Human-Computer Interaction, 2019. </w:t>
      </w:r>
    </w:p>
    <w:p w14:paraId="0A2A1630" w14:textId="77777777" w:rsidR="00025B37" w:rsidRDefault="00025B37" w:rsidP="00025B37">
      <w:pPr>
        <w:numPr>
          <w:ilvl w:val="0"/>
          <w:numId w:val="1"/>
        </w:numPr>
        <w:spacing w:before="100" w:beforeAutospacing="1" w:after="100" w:afterAutospacing="1" w:line="240" w:lineRule="auto"/>
        <w:jc w:val="both"/>
      </w:pPr>
      <w:r>
        <w:t xml:space="preserve">Mik, Eliza. </w:t>
      </w:r>
      <w:r>
        <w:rPr>
          <w:rStyle w:val="Emphasis"/>
          <w:rFonts w:eastAsiaTheme="majorEastAsia"/>
        </w:rPr>
        <w:t>The Erosion of Autonomy in Online Consumer Transactions</w:t>
      </w:r>
      <w:r>
        <w:t xml:space="preserve">. Law, Innovation and Technology, 8(1), 2016. </w:t>
      </w:r>
    </w:p>
    <w:p w14:paraId="0BA1D548" w14:textId="77777777" w:rsidR="00025B37" w:rsidRPr="003D429C" w:rsidRDefault="00025B37" w:rsidP="00025B37">
      <w:pPr>
        <w:numPr>
          <w:ilvl w:val="0"/>
          <w:numId w:val="1"/>
        </w:numPr>
        <w:spacing w:before="100" w:beforeAutospacing="1" w:after="100" w:afterAutospacing="1" w:line="240" w:lineRule="auto"/>
        <w:jc w:val="both"/>
        <w:rPr>
          <w:lang w:val="es-ES"/>
        </w:rPr>
      </w:pPr>
      <w:r w:rsidRPr="003D429C">
        <w:rPr>
          <w:lang w:val="es-ES"/>
        </w:rPr>
        <w:t xml:space="preserve">República Dominicana. Ley General de Protección de los Derechos del Consumidor o Usuario, núm. 358-05. </w:t>
      </w:r>
    </w:p>
    <w:p w14:paraId="5A7FD437" w14:textId="77777777" w:rsidR="00025B37" w:rsidRPr="003D429C" w:rsidRDefault="00025B37" w:rsidP="00025B37">
      <w:pPr>
        <w:numPr>
          <w:ilvl w:val="0"/>
          <w:numId w:val="1"/>
        </w:numPr>
        <w:spacing w:before="100" w:beforeAutospacing="1" w:after="100" w:afterAutospacing="1" w:line="240" w:lineRule="auto"/>
        <w:jc w:val="both"/>
        <w:rPr>
          <w:lang w:val="es-ES"/>
        </w:rPr>
      </w:pPr>
      <w:proofErr w:type="spellStart"/>
      <w:r w:rsidRPr="003D429C">
        <w:rPr>
          <w:lang w:val="es-ES"/>
        </w:rPr>
        <w:t>Robilliard</w:t>
      </w:r>
      <w:proofErr w:type="spellEnd"/>
      <w:r w:rsidRPr="003D429C">
        <w:rPr>
          <w:lang w:val="es-ES"/>
        </w:rPr>
        <w:t xml:space="preserve"> Silva, Guillermo. </w:t>
      </w:r>
      <w:r>
        <w:rPr>
          <w:rStyle w:val="Emphasis"/>
          <w:rFonts w:eastAsiaTheme="majorEastAsia"/>
          <w:lang w:val="es-ES"/>
        </w:rPr>
        <w:t>Dark Patterns</w:t>
      </w:r>
      <w:r w:rsidRPr="003D429C">
        <w:rPr>
          <w:rStyle w:val="Emphasis"/>
          <w:rFonts w:eastAsiaTheme="majorEastAsia"/>
          <w:lang w:val="es-ES"/>
        </w:rPr>
        <w:t>: Retos para el Derecho del Consumidor Peruano en la Era Digital</w:t>
      </w:r>
      <w:r w:rsidRPr="003D429C">
        <w:rPr>
          <w:lang w:val="es-ES"/>
        </w:rPr>
        <w:t xml:space="preserve">. Estudios de Deusto, 2026. </w:t>
      </w:r>
    </w:p>
    <w:p w14:paraId="74FD307F" w14:textId="77777777" w:rsidR="00025B37" w:rsidRPr="003D429C" w:rsidRDefault="00025B37" w:rsidP="00025B37">
      <w:pPr>
        <w:numPr>
          <w:ilvl w:val="0"/>
          <w:numId w:val="1"/>
        </w:numPr>
        <w:spacing w:before="100" w:beforeAutospacing="1" w:after="100" w:afterAutospacing="1" w:line="240" w:lineRule="auto"/>
        <w:jc w:val="both"/>
        <w:rPr>
          <w:lang w:val="es-ES"/>
        </w:rPr>
      </w:pPr>
      <w:r w:rsidRPr="003D429C">
        <w:rPr>
          <w:lang w:val="es-ES"/>
        </w:rPr>
        <w:t xml:space="preserve">Unión Europea. Reglamento (UE) 2022/2065 del Parlamento Europeo y del Consejo (Ley de Servicios Digitales). </w:t>
      </w:r>
    </w:p>
    <w:p w14:paraId="187589D7" w14:textId="30906F33" w:rsidR="00025B37" w:rsidRDefault="00025B37" w:rsidP="00025B37">
      <w:pPr>
        <w:numPr>
          <w:ilvl w:val="0"/>
          <w:numId w:val="1"/>
        </w:numPr>
        <w:spacing w:before="100" w:beforeAutospacing="1" w:after="100" w:afterAutospacing="1" w:line="240" w:lineRule="auto"/>
        <w:jc w:val="both"/>
      </w:pPr>
      <w:r w:rsidRPr="003D429C">
        <w:rPr>
          <w:lang w:val="es-ES"/>
        </w:rPr>
        <w:t xml:space="preserve">Zac, </w:t>
      </w:r>
      <w:proofErr w:type="spellStart"/>
      <w:r w:rsidRPr="003D429C">
        <w:rPr>
          <w:lang w:val="es-ES"/>
        </w:rPr>
        <w:t>Amit</w:t>
      </w:r>
      <w:proofErr w:type="spellEnd"/>
      <w:r w:rsidRPr="003D429C">
        <w:rPr>
          <w:lang w:val="es-ES"/>
        </w:rPr>
        <w:t xml:space="preserve">, Yun-Chun Huang, </w:t>
      </w:r>
      <w:proofErr w:type="spellStart"/>
      <w:r w:rsidRPr="003D429C">
        <w:rPr>
          <w:lang w:val="es-ES"/>
        </w:rPr>
        <w:t>Amédée</w:t>
      </w:r>
      <w:proofErr w:type="spellEnd"/>
      <w:r w:rsidRPr="003D429C">
        <w:rPr>
          <w:lang w:val="es-ES"/>
        </w:rPr>
        <w:t xml:space="preserve"> </w:t>
      </w:r>
      <w:proofErr w:type="spellStart"/>
      <w:r w:rsidRPr="003D429C">
        <w:rPr>
          <w:lang w:val="es-ES"/>
        </w:rPr>
        <w:t>von</w:t>
      </w:r>
      <w:proofErr w:type="spellEnd"/>
      <w:r w:rsidRPr="003D429C">
        <w:rPr>
          <w:lang w:val="es-ES"/>
        </w:rPr>
        <w:t xml:space="preserve"> Moltke, Christopher Decker y Ariel </w:t>
      </w:r>
      <w:proofErr w:type="spellStart"/>
      <w:r w:rsidRPr="003D429C">
        <w:rPr>
          <w:lang w:val="es-ES"/>
        </w:rPr>
        <w:t>Ezrachi</w:t>
      </w:r>
      <w:proofErr w:type="spellEnd"/>
      <w:r w:rsidRPr="003D429C">
        <w:rPr>
          <w:lang w:val="es-ES"/>
        </w:rPr>
        <w:t xml:space="preserve">. </w:t>
      </w:r>
      <w:r>
        <w:rPr>
          <w:rStyle w:val="Emphasis"/>
          <w:rFonts w:eastAsiaTheme="majorEastAsia"/>
        </w:rPr>
        <w:t>Dark Patterns and Consumer Vulnerability</w:t>
      </w:r>
      <w:r>
        <w:t xml:space="preserve">. </w:t>
      </w:r>
      <w:proofErr w:type="spellStart"/>
      <w:r>
        <w:t>Behavioural</w:t>
      </w:r>
      <w:proofErr w:type="spellEnd"/>
      <w:r>
        <w:t xml:space="preserve"> Public Policy, 2025.</w:t>
      </w:r>
    </w:p>
    <w:p w14:paraId="4DB19894" w14:textId="77777777" w:rsidR="00025B37" w:rsidRPr="003D429C" w:rsidRDefault="00025B37" w:rsidP="00025B37">
      <w:pPr>
        <w:spacing w:after="200"/>
        <w:jc w:val="both"/>
        <w:rPr>
          <w:sz w:val="21"/>
          <w:szCs w:val="21"/>
          <w:lang w:val="es-ES"/>
        </w:rPr>
      </w:pPr>
    </w:p>
    <w:p w14:paraId="31374EAB" w14:textId="77777777" w:rsidR="00025B37" w:rsidRDefault="00025B37" w:rsidP="00025B37"/>
    <w:p w14:paraId="31D1B4FD" w14:textId="77777777" w:rsidR="00025B37" w:rsidRDefault="00025B37" w:rsidP="00025B37"/>
    <w:p w14:paraId="0BA846DB" w14:textId="77777777" w:rsidR="00025B37" w:rsidRDefault="00025B37"/>
    <w:sectPr w:rsidR="00025B37" w:rsidSect="00025B37">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1098" w14:textId="77777777" w:rsidR="00025B37" w:rsidRDefault="00025B37">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1A06"/>
    <w:multiLevelType w:val="multilevel"/>
    <w:tmpl w:val="294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889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B37"/>
    <w:rsid w:val="00025B37"/>
    <w:rsid w:val="001D3CE6"/>
    <w:rsid w:val="0056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60B6"/>
  <w15:chartTrackingRefBased/>
  <w15:docId w15:val="{CF4C14E3-D505-5A4E-AF3A-59FE526F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B37"/>
    <w:pPr>
      <w:spacing w:after="0" w:line="36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25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5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B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B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B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B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5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B37"/>
    <w:rPr>
      <w:rFonts w:eastAsiaTheme="majorEastAsia" w:cstheme="majorBidi"/>
      <w:color w:val="272727" w:themeColor="text1" w:themeTint="D8"/>
    </w:rPr>
  </w:style>
  <w:style w:type="paragraph" w:styleId="Title">
    <w:name w:val="Title"/>
    <w:basedOn w:val="Normal"/>
    <w:next w:val="Normal"/>
    <w:link w:val="TitleChar"/>
    <w:uiPriority w:val="10"/>
    <w:qFormat/>
    <w:rsid w:val="0002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B37"/>
    <w:pPr>
      <w:spacing w:before="160"/>
      <w:jc w:val="center"/>
    </w:pPr>
    <w:rPr>
      <w:i/>
      <w:iCs/>
      <w:color w:val="404040" w:themeColor="text1" w:themeTint="BF"/>
    </w:rPr>
  </w:style>
  <w:style w:type="character" w:customStyle="1" w:styleId="QuoteChar">
    <w:name w:val="Quote Char"/>
    <w:basedOn w:val="DefaultParagraphFont"/>
    <w:link w:val="Quote"/>
    <w:uiPriority w:val="29"/>
    <w:rsid w:val="00025B37"/>
    <w:rPr>
      <w:i/>
      <w:iCs/>
      <w:color w:val="404040" w:themeColor="text1" w:themeTint="BF"/>
    </w:rPr>
  </w:style>
  <w:style w:type="paragraph" w:styleId="ListParagraph">
    <w:name w:val="List Paragraph"/>
    <w:basedOn w:val="Normal"/>
    <w:uiPriority w:val="34"/>
    <w:qFormat/>
    <w:rsid w:val="00025B37"/>
    <w:pPr>
      <w:ind w:left="720"/>
      <w:contextualSpacing/>
    </w:pPr>
  </w:style>
  <w:style w:type="character" w:styleId="IntenseEmphasis">
    <w:name w:val="Intense Emphasis"/>
    <w:basedOn w:val="DefaultParagraphFont"/>
    <w:uiPriority w:val="21"/>
    <w:qFormat/>
    <w:rsid w:val="00025B37"/>
    <w:rPr>
      <w:i/>
      <w:iCs/>
      <w:color w:val="0F4761" w:themeColor="accent1" w:themeShade="BF"/>
    </w:rPr>
  </w:style>
  <w:style w:type="paragraph" w:styleId="IntenseQuote">
    <w:name w:val="Intense Quote"/>
    <w:basedOn w:val="Normal"/>
    <w:next w:val="Normal"/>
    <w:link w:val="IntenseQuoteChar"/>
    <w:uiPriority w:val="30"/>
    <w:qFormat/>
    <w:rsid w:val="00025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B37"/>
    <w:rPr>
      <w:i/>
      <w:iCs/>
      <w:color w:val="0F4761" w:themeColor="accent1" w:themeShade="BF"/>
    </w:rPr>
  </w:style>
  <w:style w:type="character" w:styleId="IntenseReference">
    <w:name w:val="Intense Reference"/>
    <w:basedOn w:val="DefaultParagraphFont"/>
    <w:uiPriority w:val="32"/>
    <w:qFormat/>
    <w:rsid w:val="00025B37"/>
    <w:rPr>
      <w:b/>
      <w:bCs/>
      <w:smallCaps/>
      <w:color w:val="0F4761" w:themeColor="accent1" w:themeShade="BF"/>
      <w:spacing w:val="5"/>
    </w:rPr>
  </w:style>
  <w:style w:type="paragraph" w:customStyle="1" w:styleId="pdq2pgselectionanchorcontainer">
    <w:name w:val="pdq2pg_selectionanchorcontainer"/>
    <w:basedOn w:val="Normal"/>
    <w:rsid w:val="00025B37"/>
    <w:pPr>
      <w:spacing w:before="100" w:beforeAutospacing="1" w:after="100" w:afterAutospacing="1" w:line="240" w:lineRule="auto"/>
    </w:pPr>
  </w:style>
  <w:style w:type="paragraph" w:styleId="NormalWeb">
    <w:name w:val="Normal (Web)"/>
    <w:basedOn w:val="Normal"/>
    <w:uiPriority w:val="99"/>
    <w:unhideWhenUsed/>
    <w:rsid w:val="00025B37"/>
    <w:pPr>
      <w:spacing w:before="100" w:beforeAutospacing="1" w:after="100" w:afterAutospacing="1" w:line="240" w:lineRule="auto"/>
    </w:pPr>
  </w:style>
  <w:style w:type="character" w:styleId="Emphasis">
    <w:name w:val="Emphasis"/>
    <w:basedOn w:val="DefaultParagraphFont"/>
    <w:uiPriority w:val="20"/>
    <w:qFormat/>
    <w:rsid w:val="00025B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1753</Words>
  <Characters>9998</Characters>
  <Application>Microsoft Office Word</Application>
  <DocSecurity>0</DocSecurity>
  <Lines>83</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SHERLYN  MUÑOZ VENTURA</dc:creator>
  <cp:keywords/>
  <dc:description/>
  <cp:lastModifiedBy>SHERLYN  MUÑOZ VENTURA</cp:lastModifiedBy>
  <cp:revision>2</cp:revision>
  <dcterms:created xsi:type="dcterms:W3CDTF">2026-07-21T22:09:00Z</dcterms:created>
  <dcterms:modified xsi:type="dcterms:W3CDTF">2026-07-21T22:09:00Z</dcterms:modified>
</cp:coreProperties>
</file>