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3914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3" w:name="_GoBack"/>
      <w:bookmarkEnd w:id="3"/>
      <w:bookmarkStart w:id="0" w:name="一我们做什么可编程躯体触觉-b2b-一体化平台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我们做什么：可编程躯体触觉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 xml:space="preserve"> B2B </w:t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一体化平台</w:t>
      </w:r>
    </w:p>
    <w:p w14:paraId="6C84229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我们打造</w:t>
      </w:r>
      <w:r>
        <w:rPr>
          <w:rFonts w:ascii="Times New Roman" w:hAnsi="Times New Roman" w:eastAsia="宋体" w:cs="Times New Roman"/>
          <w:b/>
          <w:sz w:val="24"/>
          <w:szCs w:val="24"/>
        </w:rPr>
        <w:t>传感闭环式模块化躯干触觉系统</w:t>
      </w:r>
      <w:r>
        <w:rPr>
          <w:rFonts w:ascii="Times New Roman" w:hAnsi="Times New Roman" w:eastAsia="宋体" w:cs="Times New Roman"/>
          <w:sz w:val="24"/>
          <w:szCs w:val="24"/>
        </w:rPr>
        <w:t>，区别于市面单纯振动马达硬件，依靠联锁柔性骨架、分布式传感单元 + 低代码触觉编排 SDK，实现可定位、可链式传播、可清洗的可编程躯体触觉反馈；不靠单一硬件盈利，提供硬件、软件授权、场景定制、维保实施全套 B2B 解决方案，依托结构专利、触觉数据资产、开发工具生态、独家制造工艺、产学研资源五大壁垒建立竞争优势，初代产品聚焦躯干、不做消费级全身服、不宣称医疗 / 电刺激功能。</w:t>
      </w:r>
    </w:p>
    <w:bookmarkEnd w:id="0"/>
    <w:p w14:paraId="62E363B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1" w:name="二我们准备怎么做分阶段验证-+-里程碑式融资落地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我们准备怎么做：分阶段验证 + 里程碑式融资落地</w:t>
      </w:r>
    </w:p>
    <w:p w14:paraId="3C182D36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产品分四阶段迭代</w:t>
      </w:r>
      <w:r>
        <w:rPr>
          <w:rFonts w:ascii="Times New Roman" w:hAnsi="Times New Roman" w:eastAsia="宋体" w:cs="Times New Roman"/>
          <w:sz w:val="24"/>
          <w:szCs w:val="24"/>
        </w:rPr>
        <w:t>：P0 开发者套件完成技术验证→P1 量产模块化触觉背心（主力商业化产品）→P2 工业 / 体育训练科研平台→P3 先进柔性材料、康复医疗独立专项研发；</w:t>
      </w:r>
    </w:p>
    <w:p w14:paraId="7CCE04B7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800 万种子轮支撑 18 个月研发落地</w:t>
      </w:r>
      <w:r>
        <w:rPr>
          <w:rFonts w:ascii="Times New Roman" w:hAnsi="Times New Roman" w:eastAsia="宋体" w:cs="Times New Roman"/>
          <w:sz w:val="24"/>
          <w:szCs w:val="24"/>
        </w:rPr>
        <w:t>，资金重点投入研发、样机、客户试点，设置明确下一轮融资门槛（3 个付费客户、100 套硬件部署），按季度里程碑拨付资金，技术 / 市场不达标即启动止损，避免盲目扩产；</w:t>
      </w:r>
    </w:p>
    <w:p w14:paraId="3211EFA5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阶梯式获客</w:t>
      </w:r>
      <w:r>
        <w:rPr>
          <w:rFonts w:ascii="Times New Roman" w:hAnsi="Times New Roman" w:eastAsia="宋体" w:cs="Times New Roman"/>
          <w:sz w:val="24"/>
          <w:szCs w:val="24"/>
        </w:rPr>
        <w:t>：创始团队直销拿下首批付费 POC→标准化销售工具复制→渠道分销→XR 生态厂商官方认证合作，硬性管控硬件毛利率≥45%，靠软件、服务提升整体盈利水平。</w:t>
      </w:r>
    </w:p>
    <w:bookmarkEnd w:id="1"/>
    <w:p w14:paraId="6129A5C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2" w:name="三后续发展场景与长期商业闭环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后续发展场景与长期商业闭环</w:t>
      </w:r>
    </w:p>
    <w:p w14:paraId="760912E1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分优先级落地行业场景</w:t>
      </w:r>
      <w:r>
        <w:rPr>
          <w:rFonts w:ascii="Times New Roman" w:hAnsi="Times New Roman" w:eastAsia="宋体" w:cs="Times New Roman"/>
          <w:sz w:val="24"/>
          <w:szCs w:val="24"/>
        </w:rPr>
        <w:t>：首发主打 XR 内容研发、线下文旅沉浸体验；中期拓展工业消防安全训练、体育动作矫正训练；远期独立立项布局柔性传感新材料、康复医疗科研设备；</w:t>
      </w:r>
    </w:p>
    <w:p w14:paraId="182D2E25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可持续商业飞轮</w:t>
      </w:r>
      <w:r>
        <w:rPr>
          <w:rFonts w:ascii="Times New Roman" w:hAnsi="Times New Roman" w:eastAsia="宋体" w:cs="Times New Roman"/>
          <w:sz w:val="24"/>
          <w:szCs w:val="24"/>
        </w:rPr>
        <w:t>：硬件低价获客，软件授权、定制方案拉高单次项目毛利，年度维保、耗材形成长期稳定复购收入；持续积累行业触觉数据、标准化场景模板，形成越用越有壁垒的数据资产；</w:t>
      </w:r>
    </w:p>
    <w:p w14:paraId="66D03A40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长期增长规划</w:t>
      </w:r>
      <w:r>
        <w:rPr>
          <w:rFonts w:ascii="Times New Roman" w:hAnsi="Times New Roman" w:eastAsia="宋体" w:cs="Times New Roman"/>
          <w:sz w:val="24"/>
          <w:szCs w:val="24"/>
        </w:rPr>
        <w:t>：三年达成 55 家付费 B2B 客户、年营收 3750 万，接近盈利；成熟后拆分先进材料、康复医疗业务线开辟第二增长曲线。</w:t>
      </w:r>
    </w:p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F70B15"/>
    <w:multiLevelType w:val="singleLevel"/>
    <w:tmpl w:val="39F70B1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43AC8A1E"/>
    <w:multiLevelType w:val="singleLevel"/>
    <w:tmpl w:val="43AC8A1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796EA63C"/>
    <w:multiLevelType w:val="singleLevel"/>
    <w:tmpl w:val="796EA63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F327D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3"/>
    <w:link w:val="3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semiHidden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link w:val="35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link w:val="36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link w:val="3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link w:val="3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link w:val="40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next w:val="3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16">
    <w:name w:val="Subtitle"/>
    <w:next w:val="3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874CB" w:themeColor="accent1"/>
    </w:rPr>
  </w:style>
  <w:style w:type="character" w:customStyle="1" w:styleId="21">
    <w:name w:val="Body Text Char"/>
    <w:basedOn w:val="3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32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3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32"/>
    <w:link w:val="2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33">
    <w:name w:val="Heading 2 Char"/>
    <w:basedOn w:val="32"/>
    <w:semiHidden/>
    <w:qFormat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34">
    <w:name w:val="Heading 3 Char"/>
    <w:basedOn w:val="32"/>
    <w:semiHidden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5">
    <w:name w:val="Heading 4 Char"/>
    <w:basedOn w:val="32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36">
    <w:name w:val="Heading 5 Char"/>
    <w:basedOn w:val="32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37">
    <w:name w:val="Heading 6 Char"/>
    <w:basedOn w:val="32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38">
    <w:name w:val="Heading 7 Char"/>
    <w:basedOn w:val="32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39">
    <w:name w:val="Heading 8 Char"/>
    <w:basedOn w:val="32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40">
    <w:name w:val="Heading 9 Char"/>
    <w:basedOn w:val="32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1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1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705</Words>
  <Characters>738</Characters>
  <Lines>12</Lines>
  <Paragraphs>8</Paragraphs>
  <TotalTime>6</TotalTime>
  <ScaleCrop>false</ScaleCrop>
  <LinksUpToDate>false</LinksUpToDate>
  <CharactersWithSpaces>772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2026-08-14T02:00:00Z</dcterms:created>
  <dc:creator>虎浩东</dc:creator>
  <cp:lastModifiedBy>虎浩东</cp:lastModifiedBy>
  <dcterms:modified xsi:type="dcterms:W3CDTF">2026-08-14T02:00:59Z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eyJoZGlkIjoiMzIyNGRmZGIwZWE0MTFmMDEwMmQ0NzNhMDkwNjI4MDIiLCJ1c2VySWQiOiIzOTkwMjQyNjIifQ==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3C7FD1C227C44A2DAF28778305C0B239_12</vt:lpwstr>
  </property>
</Properties>
</file>