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BONIFACE NJOROGE GATHEE</w:t>
      </w:r>
    </w:p>
    <w:p>
      <w:pPr>
        <w:spacing w:after="40"/>
        <w:jc w:val="center"/>
      </w:pPr>
      <w:r>
        <w:rPr>
          <w:b/>
          <w:bCs/>
          <w:sz w:val="22"/>
          <w:szCs w:val="22"/>
        </w:rPr>
        <w:t xml:space="preserve">CPA(K)  |  MSc Finance  |  BCom (Finance)  |  FMVA®  |  ICPAK Member No. 7753</w:t>
      </w:r>
    </w:p>
    <w:p>
      <w:pPr>
        <w:spacing w:after="120"/>
        <w:jc w:val="center"/>
      </w:pPr>
      <w:r>
        <w:rPr>
          <w:sz w:val="20"/>
          <w:szCs w:val="20"/>
        </w:rPr>
        <w:t xml:space="preserve">Nairobi, Kenya  |  Kenyan Citizen</w:t>
      </w:r>
    </w:p>
    <w:p>
      <w:pPr>
        <w:pBdr>
          <w:bottom w:val="single" w:color="1F3864" w:sz="8" w:space="2"/>
        </w:pBdr>
        <w:spacing w:after="80" w:before="200"/>
      </w:pPr>
      <w:r>
        <w:rPr>
          <w:b/>
          <w:bCs/>
          <w:color w:val="1F3864"/>
          <w:sz w:val="23"/>
          <w:szCs w:val="23"/>
        </w:rPr>
        <w:t xml:space="preserve">PROFESSIONAL PROFILE</w:t>
      </w:r>
    </w:p>
    <w:p>
      <w:pPr>
        <w:spacing w:after="80" w:line="264"/>
        <w:jc w:val="both"/>
      </w:pPr>
      <w:r>
        <w:t xml:space="preserve">Certified Public Accountant of Kenya (CPA(K), qualified 2006) and registered member of the Institute of Certified Public Accountants of Kenya (Reg. No. 7753, since 2010), bringing 20 years as a qualified accountant. Holds a Master of Science in Finance from the University of Nairobi and a Bachelor of Commerce (Finance) from KCA University, Second Class Honours (Upper Division). Certified Financial Modeling &amp; Valuation Analyst (FMVA®) with strong skills in financial analysis, budgeting, forecasting and decision support. Trained in management and strategy at Strathmore Business School. Seeking to bring sound public financial management, accurate reporting and effective leadership to the position of Assistant Director, Finance and Accounts at the Kenya Veterinary Board.</w:t>
      </w:r>
    </w:p>
    <w:p>
      <w:pPr>
        <w:pBdr>
          <w:bottom w:val="single" w:color="1F3864" w:sz="8" w:space="2"/>
        </w:pBdr>
        <w:spacing w:after="80" w:before="200"/>
      </w:pPr>
      <w:r>
        <w:rPr>
          <w:b/>
          <w:bCs/>
          <w:color w:val="1F3864"/>
          <w:sz w:val="23"/>
          <w:szCs w:val="23"/>
        </w:rPr>
        <w:t xml:space="preserve">CORE COMPETENCIES</w:t>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tcPr>
          <w:p>
            <w:pPr>
              <w:pStyle w:val="ListParagraph"/>
              <w:numPr>
                <w:ilvl w:val="0"/>
                <w:numId w:val="2"/>
              </w:numPr>
              <w:spacing w:after="40" w:line="252"/>
            </w:pPr>
            <w:r>
              <w:t xml:space="preserve">Financial reporting (IPSAS / IFRS)</w:t>
            </w:r>
          </w:p>
          <w:p>
            <w:pPr>
              <w:pStyle w:val="ListParagraph"/>
              <w:numPr>
                <w:ilvl w:val="0"/>
                <w:numId w:val="2"/>
              </w:numPr>
              <w:spacing w:after="40" w:line="252"/>
            </w:pPr>
            <w:r>
              <w:t xml:space="preserve">Budget preparation, control &amp; MTEF</w:t>
            </w:r>
          </w:p>
          <w:p>
            <w:pPr>
              <w:pStyle w:val="ListParagraph"/>
              <w:numPr>
                <w:ilvl w:val="0"/>
                <w:numId w:val="2"/>
              </w:numPr>
              <w:spacing w:after="40" w:line="252"/>
            </w:pPr>
            <w:r>
              <w:t xml:space="preserve">Public Finance Management Act, 2012</w:t>
            </w:r>
          </w:p>
          <w:p>
            <w:pPr>
              <w:pStyle w:val="ListParagraph"/>
              <w:numPr>
                <w:ilvl w:val="0"/>
                <w:numId w:val="2"/>
              </w:numPr>
              <w:spacing w:after="40" w:line="252"/>
            </w:pPr>
            <w:r>
              <w:t xml:space="preserve">Cash flow &amp; treasury management</w:t>
            </w:r>
          </w:p>
          <w:p>
            <w:pPr>
              <w:pStyle w:val="ListParagraph"/>
              <w:numPr>
                <w:ilvl w:val="0"/>
                <w:numId w:val="2"/>
              </w:numPr>
              <w:spacing w:after="40" w:line="252"/>
            </w:pPr>
            <w:r>
              <w:t xml:space="preserve">Financial modelling, forecasting &amp; valuation</w:t>
            </w:r>
          </w:p>
        </w:tc>
        <w:tc>
          <w:tcPr>
            <w:tcW w:type="dxa" w:w="5233"/>
            <w:tcBorders>
              <w:top w:val="none" w:color="FFFFFF" w:sz="0"/>
              <w:left w:val="none" w:color="FFFFFF" w:sz="0"/>
              <w:bottom w:val="none" w:color="FFFFFF" w:sz="0"/>
              <w:right w:val="none" w:color="FFFFFF" w:sz="0"/>
            </w:tcBorders>
          </w:tcPr>
          <w:p>
            <w:pPr>
              <w:pStyle w:val="ListParagraph"/>
              <w:numPr>
                <w:ilvl w:val="0"/>
                <w:numId w:val="2"/>
              </w:numPr>
              <w:spacing w:after="40" w:line="252"/>
            </w:pPr>
            <w:r>
              <w:t xml:space="preserve">Internal controls, audit &amp; risk management</w:t>
            </w:r>
          </w:p>
          <w:p>
            <w:pPr>
              <w:pStyle w:val="ListParagraph"/>
              <w:numPr>
                <w:ilvl w:val="0"/>
                <w:numId w:val="2"/>
              </w:numPr>
              <w:spacing w:after="40" w:line="252"/>
            </w:pPr>
            <w:r>
              <w:t xml:space="preserve">Statutory &amp; tax compliance (KRA)</w:t>
            </w:r>
          </w:p>
          <w:p>
            <w:pPr>
              <w:pStyle w:val="ListParagraph"/>
              <w:numPr>
                <w:ilvl w:val="0"/>
                <w:numId w:val="2"/>
              </w:numPr>
              <w:spacing w:after="40" w:line="252"/>
            </w:pPr>
            <w:r>
              <w:t xml:space="preserve">Payroll, payables &amp; revenue management</w:t>
            </w:r>
          </w:p>
          <w:p>
            <w:pPr>
              <w:pStyle w:val="ListParagraph"/>
              <w:numPr>
                <w:ilvl w:val="0"/>
                <w:numId w:val="2"/>
              </w:numPr>
              <w:spacing w:after="40" w:line="252"/>
            </w:pPr>
            <w:r>
              <w:t xml:space="preserve">Strategic planning &amp; performance reporting</w:t>
            </w:r>
          </w:p>
          <w:p>
            <w:pPr>
              <w:pStyle w:val="ListParagraph"/>
              <w:numPr>
                <w:ilvl w:val="0"/>
                <w:numId w:val="2"/>
              </w:numPr>
              <w:spacing w:after="40" w:line="252"/>
            </w:pPr>
            <w:r>
              <w:t xml:space="preserve">Team leadership &amp; customer service</w:t>
            </w:r>
          </w:p>
        </w:tc>
      </w:tr>
    </w:tbl>
    <w:p>
      <w:pPr>
        <w:pBdr>
          <w:bottom w:val="single" w:color="1F3864" w:sz="8" w:space="2"/>
        </w:pBdr>
        <w:spacing w:after="80" w:before="200"/>
      </w:pPr>
      <w:r>
        <w:rPr>
          <w:b/>
          <w:bCs/>
          <w:color w:val="1F3864"/>
          <w:sz w:val="23"/>
          <w:szCs w:val="23"/>
        </w:rPr>
        <w:t xml:space="preserve">PROFESSIONAL QUALIFICATIONS &amp; MEMBERSHIPS</w:t>
      </w:r>
    </w:p>
    <w:p>
      <w:pPr>
        <w:tabs>
          <w:tab w:val="right" w:pos="10466"/>
        </w:tabs>
        <w:spacing w:after="20" w:before="100"/>
      </w:pPr>
      <w:r>
        <w:rPr>
          <w:b/>
          <w:bCs/>
        </w:rPr>
        <w:t xml:space="preserve">Certified Public Accountant – CPA(K), KASNEB</w:t>
      </w:r>
      <w:r>
        <w:t xml:space="preserve">	</w:t>
      </w:r>
      <w:r>
        <w:rPr>
          <w:b/>
          <w:bCs/>
          <w:color w:val="1F3864"/>
        </w:rPr>
        <w:t xml:space="preserve">December 2006</w:t>
      </w:r>
    </w:p>
    <w:p>
      <w:pPr>
        <w:spacing w:after="40" w:line="264"/>
      </w:pPr>
      <w:r>
        <w:rPr>
          <w:i/>
          <w:iCs/>
        </w:rPr>
        <w:t xml:space="preserve">Passed the CPA Final Examination, satisfying the examiners in all prescribed subjects</w:t>
      </w:r>
    </w:p>
    <w:p>
      <w:pPr>
        <w:tabs>
          <w:tab w:val="right" w:pos="10466"/>
        </w:tabs>
        <w:spacing w:after="20" w:before="100"/>
      </w:pPr>
      <w:r>
        <w:rPr>
          <w:b/>
          <w:bCs/>
        </w:rPr>
        <w:t xml:space="preserve">Member, Institute of Certified Public Accountants of Kenya (ICPAK)</w:t>
      </w:r>
      <w:r>
        <w:t xml:space="preserve">	</w:t>
      </w:r>
      <w:r>
        <w:rPr>
          <w:b/>
          <w:bCs/>
          <w:color w:val="1F3864"/>
        </w:rPr>
        <w:t xml:space="preserve">11 August 2010 – Present</w:t>
      </w:r>
    </w:p>
    <w:p>
      <w:pPr>
        <w:spacing w:after="40" w:line="264"/>
      </w:pPr>
      <w:r>
        <w:rPr>
          <w:i/>
          <w:iCs/>
        </w:rPr>
        <w:t xml:space="preserve">Registered as an accountant under the Accountants Act No. 15 of 2008 – Registration No. 7753</w:t>
      </w:r>
    </w:p>
    <w:p>
      <w:pPr>
        <w:tabs>
          <w:tab w:val="right" w:pos="10466"/>
        </w:tabs>
        <w:spacing w:after="20" w:before="100"/>
      </w:pPr>
      <w:r>
        <w:rPr>
          <w:b/>
          <w:bCs/>
        </w:rPr>
        <w:t xml:space="preserve">Financial Modeling &amp; Valuation Analyst (FMVA®) – Corporate Finance Institute</w:t>
      </w:r>
      <w:r>
        <w:t xml:space="preserve">	</w:t>
      </w:r>
    </w:p>
    <w:p>
      <w:pPr>
        <w:spacing w:after="40" w:line="264"/>
      </w:pPr>
      <w:r>
        <w:rPr>
          <w:i/>
          <w:iCs/>
        </w:rPr>
        <w:t xml:space="preserve">Financial statement analysis, three-statement modelling, budgeting &amp; forecasting, DCF valuation</w:t>
      </w:r>
    </w:p>
    <w:p>
      <w:pPr>
        <w:pBdr>
          <w:bottom w:val="single" w:color="1F3864" w:sz="8" w:space="2"/>
        </w:pBdr>
        <w:spacing w:after="80" w:before="200"/>
      </w:pPr>
      <w:r>
        <w:rPr>
          <w:b/>
          <w:bCs/>
          <w:color w:val="1F3864"/>
          <w:sz w:val="23"/>
          <w:szCs w:val="23"/>
        </w:rPr>
        <w:t xml:space="preserve">ACADEMIC QUALIFICATIONS</w:t>
      </w:r>
    </w:p>
    <w:p>
      <w:pPr>
        <w:tabs>
          <w:tab w:val="right" w:pos="10466"/>
        </w:tabs>
        <w:spacing w:after="20" w:before="100"/>
      </w:pPr>
      <w:r>
        <w:rPr>
          <w:b/>
          <w:bCs/>
        </w:rPr>
        <w:t xml:space="preserve">Master of Science (Finance) – University of Nairobi</w:t>
      </w:r>
      <w:r>
        <w:t xml:space="preserve">	</w:t>
      </w:r>
      <w:r>
        <w:rPr>
          <w:b/>
          <w:bCs/>
          <w:color w:val="1F3864"/>
        </w:rPr>
        <w:t xml:space="preserve">6 December 2013</w:t>
      </w:r>
    </w:p>
    <w:p>
      <w:pPr>
        <w:tabs>
          <w:tab w:val="right" w:pos="10466"/>
        </w:tabs>
        <w:spacing w:after="20" w:before="100"/>
      </w:pPr>
      <w:r>
        <w:rPr>
          <w:b/>
          <w:bCs/>
        </w:rPr>
        <w:t xml:space="preserve">Bachelor of Commerce (Finance) – KCA University</w:t>
      </w:r>
      <w:r>
        <w:t xml:space="preserve">	</w:t>
      </w:r>
      <w:r>
        <w:rPr>
          <w:b/>
          <w:bCs/>
          <w:color w:val="1F3864"/>
        </w:rPr>
        <w:t xml:space="preserve">1 December 2011</w:t>
      </w:r>
    </w:p>
    <w:p>
      <w:pPr>
        <w:spacing w:after="40" w:line="264"/>
      </w:pPr>
      <w:r>
        <w:rPr>
          <w:i/>
          <w:iCs/>
        </w:rPr>
        <w:t xml:space="preserve">Second Class Honours, Upper Division</w:t>
      </w:r>
    </w:p>
    <w:p>
      <w:pPr>
        <w:tabs>
          <w:tab w:val="right" w:pos="10466"/>
        </w:tabs>
        <w:spacing w:after="20" w:before="100"/>
      </w:pPr>
      <w:r>
        <w:rPr>
          <w:b/>
          <w:bCs/>
        </w:rPr>
        <w:t xml:space="preserve">Kenya Certificate of Secondary Education – Njumbi High School</w:t>
      </w:r>
      <w:r>
        <w:t xml:space="preserve">	</w:t>
      </w:r>
      <w:r>
        <w:rPr>
          <w:b/>
          <w:bCs/>
          <w:color w:val="1F3864"/>
        </w:rPr>
        <w:t xml:space="preserve">2002</w:t>
      </w:r>
    </w:p>
    <w:p>
      <w:pPr>
        <w:spacing w:after="40" w:line="264"/>
      </w:pPr>
      <w:r>
        <w:rPr>
          <w:i/>
          <w:iCs/>
        </w:rPr>
        <w:t xml:space="preserve">Mean Grade B (Plain); Mathematics – A; Commerce – B+</w:t>
      </w:r>
    </w:p>
    <w:p>
      <w:pPr>
        <w:pBdr>
          <w:bottom w:val="single" w:color="1F3864" w:sz="8" w:space="2"/>
        </w:pBdr>
        <w:spacing w:after="80" w:before="200"/>
      </w:pPr>
      <w:r>
        <w:rPr>
          <w:b/>
          <w:bCs/>
          <w:color w:val="1F3864"/>
          <w:sz w:val="23"/>
          <w:szCs w:val="23"/>
        </w:rPr>
        <w:t xml:space="preserve">LEADERSHIP &amp; MANAGEMENT TRAINING</w:t>
      </w:r>
    </w:p>
    <w:p>
      <w:pPr>
        <w:tabs>
          <w:tab w:val="right" w:pos="10466"/>
        </w:tabs>
        <w:spacing w:after="20" w:before="100"/>
      </w:pPr>
      <w:r>
        <w:rPr>
          <w:b/>
          <w:bCs/>
        </w:rPr>
        <w:t xml:space="preserve">New Managers Leadership Program – Strathmore Business School (Executive Education)</w:t>
      </w:r>
      <w:r>
        <w:t xml:space="preserve">	</w:t>
      </w:r>
      <w:r>
        <w:rPr>
          <w:b/>
          <w:bCs/>
          <w:color w:val="1F3864"/>
        </w:rPr>
        <w:t xml:space="preserve">13–17 April 2015</w:t>
      </w:r>
    </w:p>
    <w:p>
      <w:pPr>
        <w:spacing w:after="40" w:line="264"/>
      </w:pPr>
      <w:r>
        <w:rPr>
          <w:i/>
          <w:iCs/>
        </w:rPr>
        <w:t xml:space="preserve">Leadership, people management, decision-making and performance management for managers</w:t>
      </w:r>
    </w:p>
    <w:p>
      <w:pPr>
        <w:tabs>
          <w:tab w:val="right" w:pos="10466"/>
        </w:tabs>
        <w:spacing w:after="20" w:before="100"/>
      </w:pPr>
      <w:r>
        <w:rPr>
          <w:b/>
          <w:bCs/>
        </w:rPr>
        <w:t xml:space="preserve">The Boma Strategy Training – Strathmore Business School &amp; The Boma Hotels</w:t>
      </w:r>
      <w:r>
        <w:t xml:space="preserve">	</w:t>
      </w:r>
      <w:r>
        <w:rPr>
          <w:b/>
          <w:bCs/>
          <w:color w:val="1F3864"/>
        </w:rPr>
        <w:t xml:space="preserve">21–22 March 2014</w:t>
      </w:r>
    </w:p>
    <w:p>
      <w:pPr>
        <w:spacing w:after="40" w:line="264"/>
      </w:pPr>
      <w:r>
        <w:rPr>
          <w:i/>
          <w:iCs/>
        </w:rPr>
        <w:t xml:space="preserve">Strategy formulation and implementation</w:t>
      </w:r>
    </w:p>
    <w:p>
      <w:pPr>
        <w:tabs>
          <w:tab w:val="right" w:pos="10466"/>
        </w:tabs>
        <w:spacing w:after="20" w:before="100"/>
      </w:pPr>
      <w:r>
        <w:rPr>
          <w:b/>
          <w:bCs/>
        </w:rPr>
        <w:t xml:space="preserve">Customer Service Training – Sky Skills Management Consultancy, Boma Hotel, Nairobi</w:t>
      </w:r>
      <w:r>
        <w:t xml:space="preserve">	</w:t>
      </w:r>
      <w:r>
        <w:rPr>
          <w:b/>
          <w:bCs/>
          <w:color w:val="1F3864"/>
        </w:rPr>
        <w:t xml:space="preserve">24–25 September 2014</w:t>
      </w:r>
    </w:p>
    <w:p>
      <w:pPr>
        <w:pBdr>
          <w:bottom w:val="single" w:color="1F3864" w:sz="8" w:space="2"/>
        </w:pBdr>
        <w:spacing w:after="80" w:before="200"/>
      </w:pPr>
      <w:r>
        <w:rPr>
          <w:b/>
          <w:bCs/>
          <w:color w:val="1F3864"/>
          <w:sz w:val="23"/>
          <w:szCs w:val="23"/>
        </w:rPr>
        <w:t xml:space="preserve">KEY STRENGTHS FOR THE ROLE</w:t>
      </w:r>
    </w:p>
    <w:p>
      <w:pPr>
        <w:pStyle w:val="ListParagraph"/>
        <w:numPr>
          <w:ilvl w:val="0"/>
          <w:numId w:val="2"/>
        </w:numPr>
        <w:spacing w:after="40" w:line="252"/>
      </w:pPr>
      <w:r>
        <w:t xml:space="preserve">Professional competence: CPA(K) with an MSc in Finance, combining technical accounting with advanced financial analysis.</w:t>
      </w:r>
    </w:p>
    <w:p>
      <w:pPr>
        <w:pStyle w:val="ListParagraph"/>
        <w:numPr>
          <w:ilvl w:val="0"/>
          <w:numId w:val="2"/>
        </w:numPr>
        <w:spacing w:after="40" w:line="252"/>
      </w:pPr>
      <w:r>
        <w:t xml:space="preserve">Financial reporting &amp; compliance: grounded in IFRS/IPSAS, taxation, auditing and public sector financial management through the CPA syllabus.</w:t>
      </w:r>
    </w:p>
    <w:p>
      <w:pPr>
        <w:pStyle w:val="ListParagraph"/>
        <w:numPr>
          <w:ilvl w:val="0"/>
          <w:numId w:val="2"/>
        </w:numPr>
        <w:spacing w:after="40" w:line="252"/>
      </w:pPr>
      <w:r>
        <w:t xml:space="preserve">Planning &amp; budgeting: FMVA® training in budgeting, forecasting and modelling to support resource allocation and decision-making.</w:t>
      </w:r>
    </w:p>
    <w:p>
      <w:pPr>
        <w:pStyle w:val="ListParagraph"/>
        <w:numPr>
          <w:ilvl w:val="0"/>
          <w:numId w:val="2"/>
        </w:numPr>
        <w:spacing w:after="40" w:line="252"/>
      </w:pPr>
      <w:r>
        <w:t xml:space="preserve">Leadership: management and strategy training at Strathmore Business School; able to lead, coach and supervise a finance team.</w:t>
      </w:r>
    </w:p>
    <w:p>
      <w:pPr>
        <w:pStyle w:val="ListParagraph"/>
        <w:numPr>
          <w:ilvl w:val="0"/>
          <w:numId w:val="2"/>
        </w:numPr>
        <w:spacing w:after="40" w:line="252"/>
      </w:pPr>
      <w:r>
        <w:t xml:space="preserve">Integrity: ICPAK member bound by the Institute’s Code of Ethics; compliant with Chapter Six of the Constitution.</w:t>
      </w:r>
    </w:p>
    <w:p>
      <w:pPr>
        <w:pBdr>
          <w:bottom w:val="single" w:color="1F3864" w:sz="8" w:space="2"/>
        </w:pBdr>
        <w:spacing w:after="80" w:before="200"/>
      </w:pPr>
      <w:r>
        <w:rPr>
          <w:b/>
          <w:bCs/>
          <w:color w:val="1F3864"/>
          <w:sz w:val="23"/>
          <w:szCs w:val="23"/>
        </w:rPr>
        <w:t xml:space="preserve">COMPUTER PROFICIENCY</w:t>
      </w:r>
    </w:p>
    <w:p>
      <w:pPr>
        <w:spacing w:after="80" w:line="264"/>
      </w:pPr>
      <w:r>
        <w:t xml:space="preserve">Advanced Microsoft Excel (financial modelling, pivot tables, lookups, scenario analysis), Microsoft Word, PowerPoint and Outlook; computerised accounting and ERP systems; internet and e-mail.</w:t>
      </w:r>
    </w:p>
    <w:p>
      <w:pPr>
        <w:pBdr>
          <w:bottom w:val="single" w:color="1F3864" w:sz="8" w:space="2"/>
        </w:pBdr>
        <w:spacing w:after="80" w:before="200"/>
      </w:pPr>
      <w:r>
        <w:rPr>
          <w:b/>
          <w:bCs/>
          <w:color w:val="1F3864"/>
          <w:sz w:val="23"/>
          <w:szCs w:val="23"/>
        </w:rPr>
        <w:t xml:space="preserve">CHAPTER SIX COMPLIANCE</w:t>
      </w:r>
    </w:p>
    <w:p>
      <w:pPr>
        <w:spacing w:after="80" w:line="264"/>
      </w:pPr>
      <w:r>
        <w:t xml:space="preserve">Able to provide valid clearances from the Kenya Revenue Authority (KRA), Higher Education Loans Board (HELB), Directorate of Criminal Investigations (DCI), Ethics and Anti-Corruption Commission (EACC) and a registered Credit Reference Bureau (CRB).</w:t>
      </w:r>
    </w:p>
    <w:p>
      <w:pPr>
        <w:pBdr>
          <w:bottom w:val="single" w:color="1F3864" w:sz="8" w:space="2"/>
        </w:pBdr>
        <w:spacing w:after="80" w:before="200"/>
      </w:pPr>
      <w:r>
        <w:rPr>
          <w:b/>
          <w:bCs/>
          <w:color w:val="1F3864"/>
          <w:sz w:val="23"/>
          <w:szCs w:val="23"/>
        </w:rPr>
        <w:t xml:space="preserve">REFEREES</w:t>
      </w:r>
    </w:p>
    <w:p>
      <w:pPr>
        <w:spacing w:after="80" w:line="264"/>
      </w:pPr>
      <w:r>
        <w:t xml:space="preserve">Available on request.</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2026-10-08T20:43:38.179Z</dcterms:created>
  <dcterms:modified xsi:type="dcterms:W3CDTF">2026-10-08T20:43:38.188Z</dcterms:modified>
</cp:coreProperties>
</file>

<file path=docProps/custom.xml><?xml version="1.0" encoding="utf-8"?>
<Properties xmlns="http://schemas.openxmlformats.org/officeDocument/2006/custom-properties" xmlns:vt="http://schemas.openxmlformats.org/officeDocument/2006/docPropsVTypes"/>
</file>