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Guion del video de sustentación</w:t>
      </w:r>
    </w:p>
    <w:p>
      <w:pPr>
        <w:spacing w:after="200"/>
      </w:pPr>
      <w:r>
        <w:rPr>
          <w:rFonts w:ascii="Arial" w:cs="Arial" w:eastAsia="Arial" w:hAnsi="Arial"/>
          <w:color w:val="52514E"/>
          <w:sz w:val="21"/>
          <w:szCs w:val="21"/>
        </w:rPr>
        <w:t xml:space="preserve">Dashboard de abandono de clientes · Telco Customer Churn · Duración estimada: 4 min 55 s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Antes de grabar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Abrir la aplicación publicada en Streamlit Community Cloud, esperar a que cargue y pulsar Restablecer filtros. Si se usa Ngrok desde Colab, crear el túnel una sola vez y no volver a «Ejecutar todas» durante la grabación.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Grabar la pantalla completa (Zoom, Meet u OBS) con la cámara pequeña en una esquina. Cada integrante habla en su bloque; quien no habla maneja el mouse según la columna «En pantalla».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Hablar con calma: el texto de cada bloque dura lo indicado leyendo a ritmo normal. Si se pasa de 5 minutos, recortar la parte de Exploración.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Al terminar, subir el video a YouTube (no listado) o a Drive y pegar el enlace en el bloque «Enlaces del proyecto» del reporte y del notebook.</w:t>
      </w:r>
    </w:p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50"/>
        <w:gridCol w:w="2850"/>
        <w:gridCol w:w="5280"/>
      </w:tblGrid>
      <w:tr>
        <w:trPr>
          <w:tblHeader/>
        </w:trPr>
        <w:tc>
          <w:tcPr>
            <w:tcW w:type="dxa" w:w="1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2A78D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9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2A78D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Habla</w:t>
            </w:r>
          </w:p>
        </w:tc>
        <w:tc>
          <w:tcPr>
            <w:tcW w:type="dxa" w:w="28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2A78D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 pantalla</w:t>
            </w:r>
          </w:p>
        </w:tc>
        <w:tc>
          <w:tcPr>
            <w:tcW w:type="dxa" w:w="528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2A78D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decir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0:00 – 0:30</w:t>
            </w:r>
          </w:p>
        </w:tc>
        <w:tc>
          <w:tcPr>
            <w:tcW w:type="dxa" w:w="9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Bonny</w:t>
            </w:r>
          </w:p>
        </w:tc>
        <w:tc>
          <w:tcPr>
            <w:tcW w:type="dxa" w:w="28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Pestaña Resumen, sin filtros. Pasar el cursor sobre los indicadores.</w:t>
            </w:r>
          </w:p>
        </w:tc>
        <w:tc>
          <w:tcPr>
            <w:tcW w:type="dxa" w:w="528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Hola, somos Bonny Galindo, Andrés López y Camilo Rodríguez, de la Especialización en Inteligencia Artificial de la CUN; nuestros nombres aparecen en el encabezado de la app. Este es nuestro dashboard del ACA 2: una aplicación en Streamlit para analizar por qué se van los clientes de una empresa de telecomunicaciones, con la misma base Telco Customer Churn del ACA 1.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Arriba están los indicadores: de 7.043 clientes se fueron 1.869, una tasa de 26,5 %, y eso representa 139 mil dólares de facturación mensual.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7F7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0:30 – 1:15</w:t>
            </w:r>
          </w:p>
        </w:tc>
        <w:tc>
          <w:tcPr>
            <w:tcW w:type="dxa" w:w="9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7F7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Andrés</w:t>
            </w:r>
          </w:p>
        </w:tc>
        <w:tc>
          <w:tcPr>
            <w:tcW w:type="dxa" w:w="28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7F7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Pestaña Calidad de datos: bitácora y tabla de atípicos. Cerrar con un vistazo a la pestaña Vista previa.</w:t>
            </w:r>
          </w:p>
        </w:tc>
        <w:tc>
          <w:tcPr>
            <w:tcW w:type="dxa" w:w="528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7F7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Antes de analizar, limpiamos los datos con un pipeline en Python que también usa el notebook. Aquí está la bitácora de cada paso.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único problema real era TotalCharges: venía como texto y tenía 11 celdas en blanco. Revisamos esos clientes y todos tenían cero meses de antigüedad, o sea, todavía no les habían facturado, así que les asignamos cero en lugar de borrarlos.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había duplicados ni atípicos, así que quedaron los 7.043 clientes, sin nulos y con cuatro variables nuevas, como el grupo de antigüedad. En Vista previa se ven los primeros registros y la estructura del dataset.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1:15 – 2:15</w:t>
            </w:r>
          </w:p>
        </w:tc>
        <w:tc>
          <w:tcPr>
            <w:tcW w:type="dxa" w:w="9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Camilo</w:t>
            </w:r>
          </w:p>
        </w:tc>
        <w:tc>
          <w:tcPr>
            <w:tcW w:type="dxa" w:w="28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Barra lateral: elegir Tipo de contrato = Mes a mes y mostrar cómo cambian los indicadores. Pestaña Exploración: cambiar la variable a Método de pago. Bajar al gráfico de dispersión y seleccionar con caja la esquina de pocos meses y cargos altos (el valor exacto depende de la zona elegida). Terminar con Restablecer filtros.</w:t>
            </w:r>
          </w:p>
        </w:tc>
        <w:tc>
          <w:tcPr>
            <w:tcW w:type="dxa" w:w="528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Ahora les mostramos cómo se usa. A la izquierda están los filtros; todo el tablero se recalcula con la selección. Si dejo solo los contratos mes a mes, la tasa sube a 42,7 %, 16 puntos por encima del total.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Exploración puedo escoger cualquier variable y la app muestra el gráfico junto con la prueba estadística; por ejemplo, método de pago, con su chi-cuadrado.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gráficos son interactivos: tienen zoom, información al pasar el cursor y selección. Si encierro a los clientes nuevos que pagan más de 80 dólares, la app calcula que ese grupo abandona más del 70 %.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7F7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2:15 – 3:15</w:t>
            </w:r>
          </w:p>
        </w:tc>
        <w:tc>
          <w:tcPr>
            <w:tcW w:type="dxa" w:w="9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7F7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Bonny</w:t>
            </w:r>
          </w:p>
        </w:tc>
        <w:tc>
          <w:tcPr>
            <w:tcW w:type="dxa" w:w="28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7F7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Pestaña Resumen: gráfico por contrato y curva de antigüedad. Luego Análisis automático sin filtros, señalando la barra de Tipo de contrato.</w:t>
            </w:r>
          </w:p>
        </w:tc>
        <w:tc>
          <w:tcPr>
            <w:tcW w:type="dxa" w:w="528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7F7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Primer hallazgo: el tipo de contrato es lo que más pesa. Mes a mes abandona 42,7 %; con contrato a dos años, apenas 2,8 %. En la sección de análisis automático es la variable con mayor asociación, con una V de Cramér de 0,41.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Además, los contratos mes a mes explican casi el 87 % del ingreso que se pierde, y la curva muestra que el riesgo se concentra en el primer año: ahí se va el 47 % de los clientes. La recomendación es incentivar el paso a planes anuales en los primeros meses.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3:15 – 4:15</w:t>
            </w:r>
          </w:p>
        </w:tc>
        <w:tc>
          <w:tcPr>
            <w:tcW w:type="dxa" w:w="9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Andrés</w:t>
            </w:r>
          </w:p>
        </w:tc>
        <w:tc>
          <w:tcPr>
            <w:tcW w:type="dxa" w:w="28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Filtro Tipo de contrato = Mes a mes, pestaña Análisis automático. Agregar Servicio de internet = Fibra óptica. Luego Soporte técnico = No y después cambiar a Sí.</w:t>
            </w:r>
          </w:p>
        </w:tc>
        <w:tc>
          <w:tcPr>
            <w:tcW w:type="dxa" w:w="528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Segundo hallazgo, y aquí el análisis automático nos guía. Con los contratos mes a mes filtrados, la app indica que la variable más asociada es el servicio de internet, y que la fibra óptica llega a 54,6 %.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filtramos fibra óptica, quedan 2.128 clientes, casi un tercio de la base. Pero miren el soporte técnico: sin soporte abandona el 57,5 %; con soporte baja a 38,9 %. En toda la base de fibra, el soporte técnico reduce la tasa a menos de la mitad.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 eso proponemos incluir soporte técnico y seguridad en línea para los clientes nuevos de fibra, que son los que más ingreso le cuestan a la empresa.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7F7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4:15 – 4:55</w:t>
            </w:r>
          </w:p>
        </w:tc>
        <w:tc>
          <w:tcPr>
            <w:tcW w:type="dxa" w:w="9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7F7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Camilo</w:t>
            </w:r>
          </w:p>
        </w:tc>
        <w:tc>
          <w:tcPr>
            <w:tcW w:type="dxa" w:w="28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7F7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Restablecer filtros y volver a Resumen.</w:t>
            </w:r>
          </w:p>
        </w:tc>
        <w:tc>
          <w:tcPr>
            <w:tcW w:type="dxa" w:w="528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7F7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 cerrar: las pruebas estadísticas respaldan cada hallazgo y el dashboard permite que cualquier persona del área comercial llegue a estas conclusiones sin programar.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 que más aprendimos fue a pasar de un notebook a una aplicación que otra persona puede abrir en el navegador, y a presentar los datos con pocos indicadores y gráficos bien escogidos en lugar de llenar la pantalla. Muchas gracias.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Cifras de apoyo (por si preguntan)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Tasa global 26,5 % · mes a mes 42,7 % · un año 11,3 % · dos años 2,8 % (V de Cramér 0,41). Primer año: 47,4 % de abandono y 55,5 % de todos los abandonos.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Mes a mes + fibra: 2.128 clientes, 54,6 %; sin soporte técnico 57,5 % y con soporte 38,9 %. Ingreso perdido: USD 139.131 al mes (86,9 % de contratos mes a mes).</w:t>
      </w:r>
    </w:p>
    <w:sectPr>
      <w:headerReference w:type="default" r:id="rId7"/>
      <w:pgSz w:w="12240" w:h="15840" w:orient="portrait"/>
      <w:pgMar w:top="850" w:right="1080" w:bottom="85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98781"/>
        <w:sz w:val="16"/>
        <w:szCs w:val="16"/>
      </w:rPr>
      <w:t xml:space="preserve">ACA 2 · Guion del video de sustentación · </w:t>
    </w:r>
    <w:r>
      <w:rPr>
        <w:rFonts w:ascii="Arial" w:cs="Arial" w:eastAsia="Arial" w:hAnsi="Arial"/>
        <w:color w:val="89878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2026-09-17T16:48:02.839Z</dcterms:created>
  <dcterms:modified xsi:type="dcterms:W3CDTF">2026-09-17T16:48:02.839Z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