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A 산출물은 사업 착수 및 KHIDI 신청 단계에서 작성된 문서이다. 2026년 4월 30일 완료.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14개 기능그룹 상세 명세, 구현 현황(완료74%/부분26%)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진척률 74%, KPI 진행, 주요성과, 이슈해결, 예산, 잔여계획 (~18p) — 8월 갱신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 전체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