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2026년 KHIDI 외국인환자 사전상담·사후관리 지원사업</w:t>
      </w:r>
    </w:p>
    <w:p>
      <w:pPr>
        <w:keepNext/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테 스 트 결 과 서</w:t>
      </w:r>
    </w:p>
    <w:p>
      <w:pPr>
        <w:keepNext/>
        <w:pBdr>
          <w:bottom w:val="single" w:color="00467F" w:sz="4" w:space="2"/>
        </w:pBdr>
        <w:spacing w:after="480" w:before="60"/>
        <w:jc w:val="center"/>
      </w:pPr>
      <w:r>
        <w:rPr>
          <w:rFonts w:ascii="맑은 고딕" w:cs="맑은 고딕" w:eastAsia="맑은 고딕" w:hAnsi="맑은 고딕"/>
          <w:color w:val="444444"/>
          <w:sz w:val="24"/>
          <w:szCs w:val="24"/>
        </w:rPr>
        <w:t>Test Report: HEALO Platform</w:t>
      </w:r>
    </w:p>
    <w:p>
      <w:pPr>
        <w:keepNext/>
      </w:pPr>
      <w:r>
        <w:t xml:space="preserve"/>
      </w:r>
    </w:p>
    <w:p>
      <w:pPr>
        <w:keepNext/>
      </w:pPr>
      <w:r>
        <w:t xml:space="preserve"/>
      </w:r>
    </w:p>
    <w:tbl>
      <w:tblPr>
        <w:tblW w:type="dxa" w:w="7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00"/>
      </w:tblGrid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기준 일자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2026년 8월 20일</w:t>
            </w:r>
          </w:p>
        </w:tc>
      </w:tr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테스트 환경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로컬 개발 서버 + 운영 Supabase (별도 Staging DB 없음)</w:t>
            </w:r>
          </w:p>
        </w:tc>
      </w:tr>
    </w:tbl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1. 테스트 전략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1.1 테스트 범위 및 목표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HEALO 플랫폼의 테스트는 4개 레이어로 구성된다.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00"/>
        <w:gridCol w:w="5006"/>
      </w:tblGrid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유형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도구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목적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단위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Vitest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개별 함수·모듈 단위 정확성 검증 (암호화·인증·RAG 로직)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통합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Vitest + 운영 Supabase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엔드포인트 → DB 연동 전체 흐름 검증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Playwright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사용자 시나리오 전체 플로우 자동화 (회원가입~인테이크~화상상담)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보안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수동 + npm audit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인증 우회·주입 공격·권한 에스컬레이션 취약점 점검</w:t>
            </w:r>
          </w:p>
        </w:tc>
      </w:tr>
    </w:tbl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1.2 테스트 원칙</w:t>
      </w:r>
    </w:p>
    <w:p>
      <w:pPr>
        <w:pStyle w:val="ListParagraph"/>
        <w:keepNext/>
        <w:numPr>
          <w:ilvl w:val="0"/>
          <w:numId w:val="6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모든 보안 관련 기능(인증·암호화·RBAC)은 회귀 테스트 필수</w:t>
      </w:r>
    </w:p>
    <w:p>
      <w:pPr>
        <w:pStyle w:val="ListParagraph"/>
        <w:keepNext/>
        <w:numPr>
          <w:ilvl w:val="0"/>
          <w:numId w:val="6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API 엔드포인트는 인증 없는 접근 거부 테스트 포함</w:t>
      </w:r>
    </w:p>
    <w:p>
      <w:pPr>
        <w:pStyle w:val="ListParagraph"/>
        <w:keepNext/>
        <w:numPr>
          <w:ilvl w:val="0"/>
          <w:numId w:val="6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E2E 테스트는 3개 사용자 역할(환자/코디네이터/관리자) 기준</w:t>
      </w:r>
    </w:p>
    <w:p>
      <w:pPr>
        <w:pStyle w:val="ListParagraph"/>
        <w:keepNext/>
        <w:numPr>
          <w:ilvl w:val="0"/>
          <w:numId w:val="6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성능 테스트는 Lighthouse 기준 Core Web Vitals 측정</w:t>
      </w:r>
    </w:p>
    <w:p>
      <w:pPr>
        <w:pStyle w:val="ListParagraph"/>
        <w:numPr>
          <w:ilvl w:val="0"/>
          <w:numId w:val="6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보안 의존성 점검: npm audit 결과 High/Critical 0건 유지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2. E2E 테스트 케이스 목록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2.1 인증 및 접근 제어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Playwright 기반 E2E 시나리오: 현재 코드베이스 구현 기준: 아래 표는 2026-04 시점 수동 확인 시나리오다. 2026-08-20 현재는 e2e 폴더에 자동화 스크립트 48개 파일 152건이 들어와 자동 실행된다.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이메일 회원가입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이메일 입력 → 인증 메일 → 클릭 → 회원가입 완료 → /patient 리다이렉트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로그인 성공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유효 이메일/비밀번호 → 로그인 → 역할별 대시보드 이동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로그인 실패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잘못된 비밀번호 → 오류 메시지 표시, 계정 잠금 안 됨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RBAC: 환자 보호 라우트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비로그인 상태에서 /patient 접근 → /login 리다이렉트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RBAC: 관리자 라우트 보호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계정으로 /admin 접근 → 403 또는 리다이렉트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E2E-AUTH-06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토큰 인테이크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링크 접속 → 로그인 없이 인테이크 폼 접근 가능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2.2 인테이크 플로우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문의 접수(1단계+2단계) 완료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1단계 접수 후 2단계 추가 정보까지 입력·제출 → 인테이크 DB 저장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파일 업로드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2단계에서 PDF 파일 첨부 → Supabase Storage 저장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필수 필드 검증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빈 필드로 다음 단계 진행 → 유효성 검증 오류 표시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PII 암호화 확인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제출 후 DB에 성명 평문 저장 없음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 알림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제출 → 코디네이터 이메일 알림 수신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2.3 AI 챗봇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챗봇 응답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암종 입력 → 5초 내 AI 응답 수신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병원 추천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간암 문의 → 면력한방병원 포함 추천 결과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Human 이관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복잡한 의료 질문 입력 → 코디네이터 연결 제안 메시지 표시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다국어 응답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러시아어 입력 → 러시아어로 응답 반환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2.4 화상상담 (LiveKit)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링크 접속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토큰 링크 → 로그인 없이 화상방 입장 성공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토큰 만료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만료된 게스트 링크 → 오류 메시지 및 재발급 안내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다중 참여자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+ 코디네이터 동시 접속 → 양방향 연결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세션 기록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화상상담 종료 → consultation_sessions DB 기록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3. 보안 회귀 테스트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3.1 인증 보안 테스트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파일 위치: src/lib/auth/requireAdminAuth.test.ts (자동 시험 도입 완료)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000"/>
        <w:gridCol w:w="3806"/>
        <w:gridCol w:w="1000"/>
      </w:tblGrid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항목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검증 방법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관리자 API 비인증 접근 차단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Authorization 헤더 없이 /api/admin/* 요청 → 401 반환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역할 에스컬레이션 방지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patient 역할로 coordinator API 접근 → 403 반환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SEC-03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JWT 변조 거부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변조된 JWT 토큰으로 API 요청 → 401 반환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SEC-04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Rate Limiting 동작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동일 IP에서 60회/분 초과 요청 → 429 Too Many Requests 반환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SEC-05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식별정보 평문 저장 없음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인테이크 제출 후 DB 직접 조회: 성명·이메일·전화 암호문 확인(2026-08-19 재확인: 이메일 109건·전화 22건 전건 암호문). 문의 본문·의료진 소견은 검색·번역 목적으로 평문 보관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SEC-06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오류 정보 은닉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의도적 오류 발생 → 응답에 stack trace / error.message 없음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SEC-07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RLS 타인 데이터 접근 차단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A 토큰으로 환자 B의 inquiry 조회 시도 → 빈 결과 반환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SEC-08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server-only 모듈 격리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service_role 키 포함 모듈이 클라이언트 번들에 미포함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pPr>
        <w:keepNext/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SEC-01~08 모두 통과 (2026-08-19 기준). 분기별 회귀 테스트 필수.</w:t>
      </w:r>
    </w:p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3.2 의존성 보안 점검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4506"/>
      </w:tblGrid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점검 도구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점검일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npm audit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Critical: 0건, High: 0건, Moderate: 2건 (운영 의존성 기준, 2026-08-20 실행)</w:t>
            </w:r>
          </w:p>
        </w:tc>
      </w:tr>
    </w:tbl>
    <w:p>
      <w:pPr>
        <w:pStyle w:val="Heading1"/>
        <w:keepNext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4. 성능 측정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4.1 Core Web Vitals (Lighthouse 기준)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2000"/>
        <w:gridCol w:w="2506"/>
      </w:tblGrid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목표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>현재 (8월 20일)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LCP (최대 콘텐츠 페인트)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2.5초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모바일 6.96초 / 데스크톱 1.47초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각 5회 반복 측정의 중앙값. 데스크톱 충족, 모바일 미달(첫 화면 전송량 1.2MB 가 저속 회선에서 병목). 개선 과제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CLS (레이아웃 안정성)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0.1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데스크톱 0.008 / 모바일 0.045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수정 전 데스크톱 0.51(5회 중 4회 발생)·모바일 0.95. 실서비스 반영 뒤 각 5회 재측정 결과 목표를 넘긴 회차 0/5. 양쪽 충족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 반응성 (FID → TBT 대체)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TBT 200ms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모바일 183ms / 데스크톱 0ms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각 5회 중앙값. FID 는 폐지된 지표로 총 차단 시간(TBT)으로 대체 측정. 양쪽 충족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TTFB (서버 응답 시간)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800ms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29~43ms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AI 응답 완료 시간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5초 이하 (NFR-02)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중앙값 5.7초 · 상위 5% 7.8초 — 목표 미달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회귀 시험 기록 2,212건 기준(ai_regression_runs.latency_ms, 2026-08-17까지 누적). 「첫 토큰까지」는 이 값에 안 담긴다. 별도 계측이 필요하다. 개선 과제</w:t>
            </w:r>
          </w:p>
        </w:tc>
      </w:tr>
    </w:tbl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>Lighthouse 12.8.2 실측(2026. 8. 20., https://healwith.co.kr/ko). 모바일은 저속 4G·CPU 4배 감속 조건이며 5회 반복 측정의 중앙값이다. 측정 PC 의 광고차단 프로그램이 값을 왜곡시키므로 해당 프로그램을 끈 상태에서 측정하였다. 종합 점수는 측정 환경에 따라 편차가 크므로 기재하지 않고 지표값만 기재한다.</w:t>
      </w:r>
    </w:p>
    <w:p>
      <w:pPr>
        <w:pStyle w:val="Heading1"/>
        <w:keepNext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5. 테스트 결과 요약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5.1 현재 시점 테스트 현황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1500"/>
        <w:gridCol w:w="3006"/>
      </w:tblGrid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영역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케이스 수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통과율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인증·RBAC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챗봇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화상상담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보안 회귀 테스트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SEC-01~08 전체 통과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성능 측정 (Lighthouse)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5항목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5항목 중 4항목 측정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2026-08-20 실측(모바일·데스크톱 각 5회). LCP 는 데스크톱만 충족, CLS 는 간헐 발생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npm 의존성 보안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1회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1회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Critical 0건 · High 0건 · Moderate 2건 (2026-08-20)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합계 (E2E+보안)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>27건(2026-04 수동) · 자동 스모크 97건(2026-08-20 실측)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>수동 27/27 · 자동 스모크 70통과 2실패 25건너뜀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 실측. 실패 2건은 의뢰서 접수 뒤 완료 화면을 기다리는 검사로, 다시 돌리면 실패 건수가 달라지고(2건→1건) 자동 검사 서버에서는 통과한다. 접수 자체는 운영DB 저장까지 확인했다</w:t>
            </w:r>
          </w:p>
        </w:tc>
      </w:tr>
    </w:tbl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>5.2 자동화 테스트 미흡 영역 (2026-04 지적 → 2026-08-20 해소 내역)</w:t>
      </w:r>
    </w:p>
    <w:p>
      <w:pPr>
        <w:pStyle w:val="ListParagraph"/>
        <w:keepNext/>
        <w:numPr>
          <w:ilvl w:val="0"/>
          <w:numId w:val="6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[해소됨 2026-08-20] Playwright E2E 스크립트 도입 완료: 48개 파일 152건. 매 변경 시 스모크, 매일 밤 전체 실행.</w:t>
      </w:r>
    </w:p>
    <w:p>
      <w:pPr>
        <w:pStyle w:val="ListParagraph"/>
        <w:keepNext/>
        <w:numPr>
          <w:ilvl w:val="0"/>
          <w:numId w:val="6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[해소됨 2026-08-20] 단위 테스트 146개 파일 1,289건 도입 완료(전건 통과).</w:t>
      </w:r>
    </w:p>
    <w:p>
      <w:pPr>
        <w:pStyle w:val="ListParagraph"/>
        <w:keepNext/>
        <w:numPr>
          <w:ilvl w:val="0"/>
          <w:numId w:val="6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성능 자동화: Lighthouse CI 파이프라인 미설정 (예정)</w:t>
      </w:r>
    </w:p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>5.3 테스트 자동화 진행 상황 (2026-08-19 기준)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500"/>
        <w:gridCol w:w="3506"/>
      </w:tblGrid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시기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추가 항목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도구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완료 (2026-06~)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화상 내 번역 자막: 실서비스 가동, 통번역 3,543건(시험 방 제외 3,277건) 축적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Playwright (LiveKit 스트림 모킹)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완료 (2026-08)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requireAdminAuth 포함 단위 테스트 146개 파일 1,289건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Vitest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완료 (2026-07~)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Lighthouse 야간 자동 감사 운영 중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GitHub Actions + Lighthouse CI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예정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부하 테스트 (100 동시 접속): 유치 확대 시점에 실시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k6 또는 Artillery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예정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외부 침투 테스트: 외부 보안 전문가 의뢰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외부 보안 전문가 의뢰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운영 시작 후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실 사용자 기반 Core Web Vitals 측정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Analytics</w:t>
            </w:r>
          </w:p>
        </w:tc>
      </w:tr>
    </w:tbl>
    <w:p>
      <w:pPr>
        <w:keepNext/>
      </w:pPr>
      <w:r>
        <w:t xml:space="preserve"/>
      </w:r>
    </w:p>
    <w:p>
      <w:pPr>
        <w:keepNext/>
      </w:pPr>
      <w:r>
        <w:t xml:space="preserve"/>
      </w:r>
    </w:p>
    <w:p>
      <w:pPr>
        <w:keepNext/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HEALO-2026-DOC-08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 (성능 수치 갱신 예정)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 기밀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</w:t>
      </w:r>
    </w:p>
    <w:p>
      <w:r>
        <w:rPr>
          <w:rFonts w:ascii="맑은 고딕" w:hAnsi="맑은 고딕"/>
          <w:b w:val="0"/>
          <w:sz w:val="18"/>
          <w:rFonts w:eastAsia="맑은 고딕"/>
        </w:rPr>
        <w:t>기준일 : 2026. 8. 20.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진료 의뢰(리드) 확인·상태 갱신·견적 회신. 병원 정보·시술 카탈로그 편집은 공개 연동 준비 중이라 아직 비활성이다.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환자 의뢰 · 단계별 진행 확인 · 코디네이터와 케이스 메신저.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에이전시와 달리 검사결과·영상·소견을 케이스에 올릴 수 있다(사후관리 ICT).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화면 경로 정정 내역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품질검증 현황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규모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결과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단위 테스트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146개 파일 / 1,289건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전건 통과 (2026-08-20 실행, 32.7초)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통합·E2E 테스트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48개 파일 / 152건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자동 실행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4. 자동 검사 항목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검사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주기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타입·빌드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TypeScript 검사(tsc --noEmit)·린트·프로덕션 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단위 테스트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vitest 전건 실행 — 로직 퇴행 차단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스키마 참조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없는 표·칸 조회와 마이그레이션 재실행 충돌 차단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콘텐츠 일관성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폐지된 경로·용어, 6개 언어 키 누락 검사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보안 의존성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취약점 공고 단위 판정(기한부 예외 관리)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스모크 E2E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주요 화면·흐름 자동 클릭 검증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야간 전체 E2E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전체 시나리오 및 접근성·잘림 검사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매일 자동 실행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5.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8. 20.)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</w:r>
    </w:p>
    <w:sectPr>
      <w:headerReference w:type="default" r:id="rId7"/>
      <w:footerReference w:type="default" r:id="rId8"/>
      <w:headerReference w:type="first" r:id="rId10"/>
      <w:footerReference w:type="first" r:id="rId11"/>
      <w:headerReference w:type="even" r:id="rId12"/>
      <w:footerReference w:type="even" r:id="rId13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HEALO 플랫폼 | 테스트 결과서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2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2"/>
    <w:lvlOverride w:ilvl="0">
      <w:startOverride w:val="1"/>
    </w:lvlOverride>
  </w:num>
  <w:num w:numId="15">
    <w:abstractNumId w:val="2"/>
    <w:lvlOverride w:ilvl="0">
      <w:startOverride w:val="1"/>
    </w:lvlOverride>
  </w:num>
  <w:num w:numId="16">
    <w:abstractNumId w:val="2"/>
    <w:lvlOverride w:ilvl="0">
      <w:startOverride w:val="1"/>
    </w:lvlOverride>
  </w:num>
  <w:num w:numId="17">
    <w:abstractNumId w:val="2"/>
    <w:lvlOverride w:ilvl="0">
      <w:startOverride w:val="1"/>
    </w:lvlOverride>
  </w:num>
  <w:num w:numId="18">
    <w:abstractNumId w:val="2"/>
    <w:lvlOverride w:ilvl="0">
      <w:startOverride w:val="1"/>
    </w:lvlOverride>
  </w:num>
  <w:num w:numId="19">
    <w:abstractNumId w:val="2"/>
    <w:lvlOverride w:ilvl="0">
      <w:startOverride w:val="1"/>
    </w:lvlOverride>
  </w:num>
  <w:num w:numId="20">
    <w:abstractNumId w:val="2"/>
    <w:lvlOverride w:ilvl="0">
      <w:startOverride w:val="1"/>
    </w:lvlOverride>
  </w:num>
  <w:num w:numId="21">
    <w:abstractNumId w:val="2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2"/>
    <w:lvlOverride w:ilvl="0">
      <w:startOverride w:val="1"/>
    </w:lvlOverride>
  </w:num>
  <w:num w:numId="27">
    <w:abstractNumId w:val="2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2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2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2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2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2"/>
    <w:lvlOverride w:ilvl="0">
      <w:startOverride w:val="1"/>
    </w:lvlOverride>
  </w:num>
  <w:num w:numId="52">
    <w:abstractNumId w:val="2"/>
    <w:lvlOverride w:ilvl="0">
      <w:startOverride w:val="1"/>
    </w:lvlOverride>
  </w:num>
  <w:num w:numId="53">
    <w:abstractNumId w:val="2"/>
    <w:lvlOverride w:ilvl="0">
      <w:startOverride w:val="1"/>
    </w:lvlOverride>
  </w:num>
  <w:num w:numId="54">
    <w:abstractNumId w:val="2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2"/>
    <w:lvlOverride w:ilvl="0">
      <w:startOverride w:val="1"/>
    </w:lvlOverride>
  </w:num>
  <w:num w:numId="58">
    <w:abstractNumId w:val="2"/>
    <w:lvlOverride w:ilvl="0">
      <w:startOverride w:val="1"/>
    </w:lvlOverride>
  </w:num>
  <w:num w:numId="59">
    <w:abstractNumId w:val="2"/>
    <w:lvlOverride w:ilvl="0">
      <w:startOverride w:val="1"/>
    </w:lvlOverride>
  </w:num>
  <w:num w:numId="60">
    <w:abstractNumId w:val="2"/>
    <w:lvlOverride w:ilvl="0">
      <w:startOverride w:val="1"/>
    </w:lvlOverride>
  </w:num>
  <w:num w:numId="61">
    <w:abstractNumId w:val="2"/>
    <w:lvlOverride w:ilvl="0">
      <w:startOverride w:val="1"/>
    </w:lvlOverride>
  </w:num>
  <w:num w:numId="6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Relationship Id="rId12" Type="http://schemas.openxmlformats.org/officeDocument/2006/relationships/header" Target="header3.xml"/><Relationship Id="rId1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2026-04-30T09:17:38.541Z</dcterms:created>
  <dcterms:modified xsi:type="dcterms:W3CDTF">2026-04-30T09:17:38.544Z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