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00467F"/>
          <w:sz w:val="36"/>
          <w:rFonts w:eastAsia="맑은 고딕"/>
        </w:rPr>
        <w:t>HEALO 플랫폼</w:t>
      </w:r>
    </w:p>
    <w:p>
      <w:pPr>
        <w:jc w:val="center"/>
      </w:pPr>
      <w:r>
        <w:rPr>
          <w:rFonts w:ascii="맑은 고딕" w:hAnsi="맑은 고딕"/>
          <w:b/>
          <w:color w:val="00467F"/>
          <w:sz w:val="44"/>
          <w:rFonts w:eastAsia="맑은 고딕"/>
        </w:rPr>
        <w:t>평가 매트릭스</w:t>
      </w:r>
    </w:p>
    <w:p/>
    <w:p>
      <w:pPr>
        <w:keepNext/>
        <w:jc w:val="center"/>
      </w:pPr>
      <w:r>
        <w:rPr>
          <w:rFonts w:ascii="맑은 고딕" w:hAnsi="맑은 고딕"/>
          <w:b w:val="0"/>
          <w:color w:val="505050"/>
          <w:sz w:val="22"/>
          <w:rFonts w:eastAsia="맑은 고딕"/>
        </w:rPr>
        <w:t>2026년 KHIDI ICT 기반 외국인환자 사전상담·사후관리 지원 사업</w:t>
      </w:r>
    </w:p>
    <w:p>
      <w:pPr>
        <w:keepNext/>
      </w:pPr>
    </w:p>
    <w:p>
      <w:pPr>
        <w:keepNext/>
        <w:jc w:val="center"/>
      </w:pPr>
      <w:r>
        <w:rPr>
          <w:rFonts w:ascii="맑은 고딕" w:hAnsi="맑은 고딕"/>
          <w:b w:val="0"/>
          <w:color w:val="787878"/>
          <w:sz w:val="20"/>
          <w:rFonts w:eastAsia="맑은 고딕"/>
        </w:rPr>
        <w:t>Evaluation Matrix  |  v1.1  |  2026.08.20</w:t>
      </w:r>
    </w:p>
    <w:p>
      <w:pPr>
        <w:keepNext/>
      </w:pP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rPr>
          <w:cantSplit/>
        </w:trPr>
        <w:tc>
          <w:tcPr>
            <w:tcW w:type="dxa" w:w="4537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문서 번호</w:t>
            </w:r>
          </w:p>
        </w:tc>
        <w:tc>
          <w:tcPr>
            <w:tcW w:type="dxa" w:w="4537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HEALO-EVAL-2026-001</w:t>
            </w:r>
          </w:p>
        </w:tc>
      </w:tr>
      <w:tr>
        <w:trPr>
          <w:cantSplit/>
        </w:trPr>
        <w:tc>
          <w:tcPr>
            <w:tcW w:type="dxa" w:w="4537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작성 기관</w:t>
            </w:r>
          </w:p>
        </w:tc>
        <w:tc>
          <w:tcPr>
            <w:tcW w:type="dxa" w:w="4537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본로이 (Bonroi)</w:t>
            </w:r>
          </w:p>
        </w:tc>
      </w:tr>
      <w:tr>
        <w:trPr>
          <w:cantSplit/>
        </w:trPr>
        <w:tc>
          <w:tcPr>
            <w:tcW w:type="dxa" w:w="4537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작성일</w:t>
            </w:r>
          </w:p>
        </w:tc>
        <w:tc>
          <w:tcPr>
            <w:tcW w:type="dxa" w:w="4537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2026년 8월 20일</w:t>
            </w:r>
          </w:p>
        </w:tc>
      </w:tr>
      <w:tr>
        <w:trPr>
          <w:cantSplit/>
        </w:trP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평가 근거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공고문 붙임1 평가기준 (공고문 p.4, p.9)</w:t>
            </w:r>
          </w:p>
        </w:tc>
      </w:tr>
    </w:tbl>
    <w:p>
      <w:pPr>
        <w:pStyle w:val="Heading1"/>
        <w:pageBreakBefore/>
      </w:pPr>
      <w:r>
        <w:rPr>
          <w:rFonts w:ascii="맑은 고딕" w:hAnsi="맑은 고딕"/>
          <w:b/>
          <w:color w:val="00467F"/>
          <w:sz w:val="28"/>
          <w:rFonts w:eastAsia="맑은 고딕"/>
        </w:rPr>
        <w:t>1. 문서 목적 및 평가 기준 출처</w:t>
      </w:r>
    </w:p>
    <w:p>
      <w:r>
        <w:rPr>
          <w:rFonts w:ascii="맑은 고딕" w:hAnsi="맑은 고딕"/>
          <w:b w:val="0"/>
          <w:sz w:val="20"/>
          <w:rFonts w:eastAsia="맑은 고딕"/>
        </w:rPr>
        <w:t>본 문서는 2026년 KHIDI 「ICT 기반 외국인환자 사전상담·사후관리 지원 사업」 공고문 붙임1 (p.9)에 명시된 평가기준에 대하여, HEALO 플랫폼의 대응 현황·증빙 산출물·추정 점수를 표 형태로 정리한 것이다. 사업 심사 준비, 자체 점검, Phase B 보강 우선순위 결정에 활용한다.</w:t>
      </w:r>
    </w:p>
    <w:p/>
    <w:p>
      <w:r>
        <w:rPr>
          <w:rFonts w:ascii="맑은 고딕" w:hAnsi="맑은 고딕"/>
          <w:b w:val="0"/>
          <w:sz w:val="20"/>
          <w:rFonts w:eastAsia="맑은 고딕"/>
        </w:rPr>
        <w:t>※ 평가 기준 출처: 공고문 붙임1 「평가기준」 (공고문 p.9, 총 100점 + 가산점 5점 = 최대 105점)</w:t>
      </w:r>
    </w:p>
    <w:p>
      <w:pPr>
        <w:keepNext/>
      </w:pPr>
      <w:r>
        <w:rPr>
          <w:rFonts w:ascii="맑은 고딕" w:hAnsi="맑은 고딕"/>
          <w:b w:val="0"/>
          <w:sz w:val="20"/>
          <w:rFonts w:eastAsia="맑은 고딕"/>
        </w:rPr>
        <w:t>※ 추정 점수는 내부 자체 평가 결과이며, 실제 평가위원회 점수와 다를 수 있음.</w:t>
      </w:r>
    </w:p>
    <w:p>
      <w:pPr>
        <w:pStyle w:val="Heading1"/>
        <w:keepNext/>
        <w:pageBreakBefore/>
      </w:pPr>
      <w:r>
        <w:rPr>
          <w:rFonts w:ascii="맑은 고딕" w:hAnsi="맑은 고딕"/>
          <w:b/>
          <w:color w:val="00467F"/>
          <w:sz w:val="28"/>
          <w:rFonts w:eastAsia="맑은 고딕"/>
        </w:rPr>
        <w:t>2. 평가항목 구조 (공고문 붙임1 원문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rPr>
          <w:tblHeader w:val="true"/>
          <w:cantSplit/>
        </w:trPr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평가항목</w:t>
            </w:r>
          </w:p>
        </w:tc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평가요소</w:t>
            </w:r>
          </w:p>
        </w:tc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배점</w:t>
            </w:r>
          </w:p>
        </w:tc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출처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사업계획의 타당성</w:t>
              <w:br/>
              <w:t>(20점)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대상국가 선정 타당성</w:t>
              <w:br/>
              <w:t>(보건의료 현황, 사업 여건 등)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사업계획의 적정성</w:t>
              <w:br/>
              <w:t>(목적·성과목표, 업무범위, 일정 등)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사업비 사용계획 적정성</w:t>
              <w:br/>
              <w:t>(정부출연금 사용, 자기부담금 매칭 등)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사업화 성공가능성</w:t>
              <w:br/>
              <w:t>(35점)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수익실현 가능성</w:t>
              <w:br/>
              <w:t>(시장 자체 수익 창출 여부)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사업 지속가능성</w:t>
              <w:br/>
              <w:t>(정부 지원 종료 후 자체 운영 마일스톤)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환자유치 기여 가능성</w:t>
              <w:br/>
              <w:t>(대상국 및 주변국 확대 가능성)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사업내용의 현실성</w:t>
              <w:br/>
              <w:t>(30점)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사업내용의 구체성</w:t>
              <w:br/>
              <w:t>(ICT 서비스 이해도, 추진방안, 목표 달성 계획)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사업내용의 실현가능성</w:t>
              <w:br/>
              <w:t>(추진 체계, 위험요소 분석·대응)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수행기관 역량 및 의지</w:t>
              <w:br/>
              <w:t>(15점)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목표설정의 도전성, 사업수행 전문성</w:t>
              <w:br/>
              <w:t>전략국 네트워크, 사전타당성 조사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가산점</w:t>
              <w:br/>
              <w:t>(최대 5점)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외국인환자 유치의료기관 평가인증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p.4,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외국인환자 유치사업자 참여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p.4,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비수도권 의료기관 참여 (서울/경기/인천 외)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공고문 p.4, p.9</w:t>
            </w:r>
          </w:p>
        </w:tc>
      </w:tr>
      <w:tr>
        <w:trPr>
          <w:cantSplit/>
        </w:trP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합계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최대 105점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</w:tbl>
    <w:p>
      <w:r>
        <w:rPr>
          <w:rFonts w:ascii="맑은 고딕" w:hAnsi="맑은 고딕"/>
          <w:b w:val="0"/>
          <w:sz w:val="20"/>
          <w:rFonts w:eastAsia="맑은 고딕"/>
        </w:rPr>
        <w:t>※ 선정 기준: 종합평점 70점 이상 프로젝트 중 고득점 순 5개 이내 우선협상 (공고문 p.4)</w:t>
      </w:r>
    </w:p>
    <w:p>
      <w:pPr>
        <w:pStyle w:val="Heading1"/>
        <w:keepNext/>
        <w:pageBreakBefore/>
      </w:pPr>
      <w:r>
        <w:rPr>
          <w:rFonts w:ascii="맑은 고딕" w:hAnsi="맑은 고딕"/>
          <w:b/>
          <w:color w:val="00467F"/>
          <w:sz w:val="28"/>
          <w:rFonts w:eastAsia="맑은 고딕"/>
        </w:rPr>
        <w:t>3. HEALO 평가 매트릭스</w:t>
      </w:r>
    </w:p>
    <w:p>
      <w:pPr>
        <w:keepNext/>
      </w:pPr>
      <w:r>
        <w:rPr>
          <w:rFonts w:ascii="맑은 고딕" w:hAnsi="맑은 고딕"/>
          <w:b w:val="0"/>
          <w:sz w:val="20"/>
          <w:rFonts w:eastAsia="맑은 고딕"/>
        </w:rPr>
        <w:t>평가항목별 HEALO 대응 현황, 증빙 산출물, 추정 점수 정리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rPr>
          <w:cantSplit/>
        </w:trPr>
        <w:tc>
          <w:tcPr>
            <w:tcW w:type="dxa" w:w="1815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1815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가중치</w:t>
            </w:r>
          </w:p>
        </w:tc>
        <w:tc>
          <w:tcPr>
            <w:tcW w:type="dxa" w:w="1815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HEALO 대응</w:t>
            </w:r>
          </w:p>
        </w:tc>
        <w:tc>
          <w:tcPr>
            <w:tcW w:type="dxa" w:w="1815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증빙 산출물</w:t>
            </w:r>
          </w:p>
        </w:tc>
        <w:tc>
          <w:tcPr>
            <w:tcW w:type="dxa" w:w="1815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추정 점수</w:t>
            </w:r>
          </w:p>
        </w:tc>
      </w:tr>
      <w:tr>
        <w:trPr>
          <w:cantSplit/>
        </w:trPr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대상국가 선정 타당성</w:t>
              <w:br/>
              <w:t>(카자흐스탄 선택 근거)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5점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카자흐스탄 암 발생 연 41,300명 (2024, 카자흐 보건부)</w:t>
              <w:br/>
              <w:t>• 5년 유병자 102,845명 (GLOBOCAN 2022)</w:t>
              <w:br/>
              <w:t>• 2024년 한국 방문 14,475명 (중앙아시아 75.5%, KHIDI)</w:t>
              <w:br/>
              <w:t>• 한국 직항 (인천-알마티, 인천-아스타나), 인터넷 보급률 93%</w:t>
              <w:br/>
              <w:t>• 자국 의료 인프라 부족: 63% 병원 30년 노후, 33% 장비기준 미달</w:t>
              <w:br/>
              <w:t>(사업계획서 p.9~15)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사업계획서 Ⅰ장 추진배경</w:t>
              <w:br/>
              <w:t>• GLOBOCAN 2022 인용 데이터</w:t>
              <w:br/>
              <w:t>• KHIDI 2024 외국인환자 유치 통계</w:t>
              <w:br/>
              <w:t>• 본 문서 01_요구사항정의서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4.5/5</w:t>
            </w:r>
          </w:p>
        </w:tc>
      </w:tr>
      <w:tr>
        <w:trPr>
          <w:cantSplit/>
        </w:trPr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사업계획의 적정성</w:t>
              <w:br/>
              <w:t>(계획·일정·업무범위)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10점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3단계 추진 전략 (플랫폼 고도화→환자유치→사후관리)</w:t>
              <w:br/>
              <w:t>• 5개 마일스톤 (M1~M5) + Gantt 차트 (사업계획서 p.31~32)</w:t>
              <w:br/>
              <w:t>• 컨소시엄 3기관 역할 분담 명확 (본로이 60%/면력 20%/신촌면력 20%)</w:t>
              <w:br/>
              <w:t>• 6대 ICT 서비스 유형 모두 구현 (공고문 p.8 기준)</w:t>
              <w:br/>
              <w:t>• AI Agent + Human Agent 상호학습 구조 (차별화)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사업계획서 Ⅱ장 추진일정</w:t>
              <w:br/>
              <w:t>• 본 문서 02_기능명세서</w:t>
              <w:br/>
              <w:t>• HEALO 플랫폼 MVP 스크린샷</w:t>
              <w:br/>
              <w:t>• 시스템 아키텍처 구성도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8.5/10</w:t>
            </w:r>
          </w:p>
        </w:tc>
      </w:tr>
      <w:tr>
        <w:trPr>
          <w:cantSplit/>
        </w:trPr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사업비 사용계획 적정성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5점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총사업비 1억원 (정부출연금 8천만원 + 자부담 2천만원)</w:t>
              <w:br/>
              <w:t>• 자부담 현금 5% (500만원), 현물 15% (1,500만원) 구성</w:t>
              <w:br/>
              <w:t>• SW 개발·고도화비 편성 (공고문 p.2 요건 충족)</w:t>
              <w:br/>
              <w:t>• 참여기관별 배분: 본로이 60%, 면력 20%, 신촌면력 20%</w:t>
              <w:br/>
              <w:t>(사업계획서 Ⅶ장 사업비)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사업계획서 Ⅶ장 사업비 총괄표</w:t>
              <w:br/>
              <w:t>• 별지5호 현금부담 확약서</w:t>
              <w:br/>
              <w:t>• 별지6호 자기부담현금 납입확약서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4.0/5</w:t>
            </w:r>
          </w:p>
        </w:tc>
      </w:tr>
      <w:tr>
        <w:trPr>
          <w:cantSplit/>
        </w:trPr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수익실현 가능성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3가지 수익 모델: 환자유치 수수료(15~30%), 플랫폼 이용료(월50~100만원), 의료관광 패키지(건당100~200만원)</w:t>
              <w:br/>
              <w:t>• 2027년 예상 매출 1.8억원 (유치수수료 1.05억 + 이용료 0.45억 + 패키지 0.3억)</w:t>
              <w:br/>
              <w:t>• SaaS 확장: 타 의료기관·유치기관에 플랫폼 제공</w:t>
              <w:br/>
              <w:t>• 2024년 카자흐→한국 의료이용 14,475명, 시장 공백 선점 전략</w:t>
              <w:br/>
              <w:t>(사업계획서 p.11 수익모델)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사업계획서 Ⅴ장 수익모델·파급효과</w:t>
              <w:br/>
              <w:t>• 시장 규모 데이터 (KHIDI 2024)</w:t>
              <w:br/>
              <w:t>• 경쟁사 비교 분석 (사업계획서 p.33)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11.5/15</w:t>
            </w:r>
          </w:p>
        </w:tc>
      </w:tr>
      <w:tr>
        <w:trPr>
          <w:cantSplit/>
        </w:trPr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 지속가능성</w:t>
              <w:br/>
              <w:t>(정부 지원 후 자체 운영)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10점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5개년 계획 수립: 2026 서비스 구축→2027 손익분기점→2028 CIS 확장→2030 글로벌 안정화</w:t>
              <w:br/>
              <w:t>• 2027년 자체 수익 기반 전환 마일스톤 제시</w:t>
              <w:br/>
              <w:t>• AI 학습 데이터 축적으로 운영 효율 자동 향상 구조</w:t>
              <w:br/>
              <w:t>• 장기적으로 Telemedicine 협력센터(2028~) 수익화</w:t>
              <w:br/>
              <w:t>(사업계획서 p.12 연차별 계획)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사업계획서 연차별 계획 (p.6)</w:t>
              <w:br/>
              <w:t>• 5개년 수익 전망표</w:t>
              <w:br/>
              <w:t>• AI 자동화율 단계별 목표 (사업계획서 p.32)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7.5/10</w:t>
            </w:r>
          </w:p>
        </w:tc>
      </w:tr>
      <w:tr>
        <w:trPr>
          <w:cantSplit/>
        </w:trPr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환자유치 기여 가능성</w:t>
              <w:br/>
              <w:t>(국가 확대)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10점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카자흐스탄 성공 후 우즈베키스탄·몽골 순차 확대 계획</w:t>
              <w:br/>
              <w:t>• 동남아(베트남 등) 2029년 진출 검토</w:t>
              <w:br/>
              <w:t>• CIS 19,160명 → 향후 전체 타겟</w:t>
              <w:br/>
              <w:t>• 현지 에이전시 8곳 네트워크 구축 중</w:t>
              <w:br/>
              <w:t>• 직항 노선 (인천-알마티, 인천-아스타나) 접근성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사업계획서 5개년 계획</w:t>
              <w:br/>
              <w:t>• CIS 시장 확대 전략 (p.12)</w:t>
              <w:br/>
              <w:t>• 현지 에이전시 접촉 현황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7.5/10</w:t>
            </w:r>
          </w:p>
        </w:tc>
      </w:tr>
      <w:tr>
        <w:trPr>
          <w:cantSplit/>
        </w:trPr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사업내용의 구체성</w:t>
              <w:br/>
              <w:t>(ICT 서비스, 추진방안)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6대 ICT 서비스 (사전 3대 + 사후 3대) 공고문 기준 전부 구현</w:t>
              <w:br/>
              <w:t>• WebRTC 화상상담 (LiveKit), AI 실시간 번역, 다국어 UI 구체 명시</w:t>
              <w:br/>
              <w:t>• AI Agent + Human Agent 상호학습 아키텍처 상세 설계</w:t>
              <w:br/>
              <w:t>• RAG 3계층 구조 (DB→HIRA→Google) 기술 구체성</w:t>
              <w:br/>
              <w:t>• 특허 2건 (10-2745881, 10-2868334) 기술 차별화 증빙</w:t>
              <w:br/>
              <w:t>(사업계획서 p.27~31, 본 문서 02_기능명세서)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02_기능명세서 (FN-AUTH~FN-SEC)</w:t>
              <w:br/>
              <w:t>• HEALO 플랫폼 MVP 시연</w:t>
              <w:br/>
              <w:t>• 특허등록증 2건</w:t>
              <w:br/>
              <w:t>• 시스템 아키텍처 다이어그램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12.5/15</w:t>
            </w:r>
          </w:p>
        </w:tc>
      </w:tr>
      <w:tr>
        <w:trPr>
          <w:cantSplit/>
        </w:trPr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사업내용의 실현가능성</w:t>
              <w:br/>
              <w:t>(추진체계, 위험관리)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컨소시엄 3기관 명확한 역할 분담 + 주간 협의체 운영</w:t>
              <w:br/>
              <w:t>• 리스크 8개 항목 분석 및 대응방안 (사업계획서 p.44)</w:t>
              <w:br/>
              <w:t>• MVP 이미 보유 → 개발 리스크 최소화</w:t>
              <w:br/>
              <w:t>• 외국인환자 유치사업자 등록 완료 (법적 요건 충족)</w:t>
              <w:br/>
              <w:t>• 면력한방병원 외국인환자 유치의료기관 등록 완료</w:t>
              <w:br/>
              <w:t>• 대학병원 협진 네트워크 기 구축 (이대서울·고대구로·신촌세브란스)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외국인환자 유치사업자 등록증</w:t>
              <w:br/>
              <w:t>• 면력한방병원 외국인환자 유치 등록증</w:t>
              <w:br/>
              <w:t>• 대학병원 협진 MOU 서류</w:t>
              <w:br/>
              <w:t>• HEALO MVP 플랫폼 배포 URL</w:t>
            </w:r>
          </w:p>
        </w:tc>
        <w:tc>
          <w:tcPr>
            <w:tcW w:type="dxa" w:w="181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12.5/15</w:t>
            </w:r>
          </w:p>
        </w:tc>
      </w:tr>
      <w:tr>
        <w:trPr>
          <w:cantSplit/>
        </w:trP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수행기관 역량 및 의지</w:t>
              <w:br/>
              <w:t>(전문성, 도전적 목표, 네트워크)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목표 도전성: KHIDI 최소 목표 대비 상향 (유치 120%, 상담 150%, 만족도 112.5%)</w:t>
              <w:br/>
              <w:t>• ICT 전문성: HEALO MVP 개발·운영, AI 학습 시스템 PoC 완료</w:t>
              <w:br/>
              <w:t>• 특허 2건, 연구개발전담부서 인정서</w:t>
              <w:br/>
              <w:t>• 카자흐스탄 현지 파트너 접촉 중 (알마티·아스타나 에이전시)</w:t>
              <w:br/>
              <w:t>• SNS 채널(trek_korea) 운영 → 실제 환자 DB 확보</w:t>
              <w:br/>
              <w:t>• MSO 전문성 기반 의료 현장 이해</w:t>
              <w:br/>
              <w:t>(사업계획서 Ⅳ장 사업추진역량)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특허등록증 10-2745881, 10-2868334</w:t>
              <w:br/>
              <w:t>• 연구개발전담부서 인정서</w:t>
              <w:br/>
              <w:t>• HEALO Survey 환자 DB 현황</w:t>
              <w:br/>
              <w:t>• SNS 채널 운영 실적</w:t>
              <w:br/>
              <w:t>• 외국인환자 유치사업자 등록증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12.0/15</w:t>
            </w:r>
          </w:p>
        </w:tc>
      </w:tr>
    </w:tbl>
    <w:p/>
    <w:p>
      <w:pPr>
        <w:keepNext/>
      </w:pPr>
      <w:r>
        <w:rPr>
          <w:rFonts w:ascii="맑은 고딕" w:hAnsi="맑은 고딕"/>
          <w:b w:val="0"/>
          <w:sz w:val="20"/>
          <w:rFonts w:eastAsia="맑은 고딕"/>
        </w:rPr>
        <w:t>○ 본 배점 소계 (가산점 제외): 약 80.5점 / 100점 추정</w:t>
      </w:r>
    </w:p>
    <w:p>
      <w:pPr>
        <w:keepNext/>
      </w:pPr>
    </w:p>
    <w:p>
      <w:pPr>
        <w:pStyle w:val="Heading2"/>
        <w:keepNext/>
      </w:pPr>
      <w:r>
        <w:rPr>
          <w:rFonts w:ascii="맑은 고딕" w:hAnsi="맑은 고딕"/>
          <w:b/>
          <w:color w:val="00467F"/>
          <w:sz w:val="24"/>
          <w:rFonts w:eastAsia="맑은 고딕"/>
        </w:rPr>
        <w:t>4. 가산점 분석 (최대 5점)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rPr>
          <w:cantSplit/>
        </w:trPr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가산점 항목</w:t>
            </w:r>
          </w:p>
        </w:tc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가중치</w:t>
            </w:r>
          </w:p>
        </w:tc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HEALO 대응</w:t>
            </w:r>
          </w:p>
        </w:tc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충족 여부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외국인환자 유치의료기관 평가인증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면력한방병원 외국인환자 유치의료기관 등록 완료</w:t>
              <w:br/>
              <w:t>신촌면력한방병원 외국인환자 유치의료기관 등록 완료</w:t>
              <w:br/>
              <w:t>(평가인증과 등록은 구분: 인증은 별도 절차)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등록 완료 (인증은 별도 확인 필요)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외국인환자 유치사업자 참여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본로이: 외국인환자 유치사업자 등록 완료 (주관기관)</w:t>
              <w:br/>
              <w:t>(사업계획서 p.4, 사업계획서 붙임 등록증 첨부)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충족: 2점 확보</w:t>
            </w:r>
          </w:p>
        </w:tc>
      </w:tr>
      <w:tr>
        <w:trPr>
          <w:cantSplit/>
        </w:trP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비수도권 의료기관 참여</w:t>
              <w:br/>
              <w:t>(서울/경기/인천 외)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1점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면력한방병원 (서울 소재): 서울은 수도권에 해당</w:t>
              <w:br/>
              <w:t>신촌면력한방병원 (서울 소재): 마찬가지</w:t>
              <w:br/>
              <w:t>비수도권 참여기관 없음 → 해당 없음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미충족: 서울 소재 병원만 참여</w:t>
            </w:r>
          </w:p>
        </w:tc>
      </w:tr>
    </w:tbl>
    <w:p/>
    <w:p>
      <w:r>
        <w:rPr>
          <w:rFonts w:ascii="맑은 고딕" w:hAnsi="맑은 고딕"/>
          <w:b w:val="0"/>
          <w:sz w:val="20"/>
          <w:rFonts w:eastAsia="맑은 고딕"/>
        </w:rPr>
        <w:t>○ 가산점 추정: 2점 (유치사업자 확정) + 3점 (유치의료기관 인증 여부 확인 필요) = 2~5점</w:t>
      </w:r>
    </w:p>
    <w:p>
      <w:pPr>
        <w:pStyle w:val="Heading1"/>
        <w:pageBreakBefore/>
      </w:pPr>
      <w:r>
        <w:rPr>
          <w:rFonts w:ascii="맑은 고딕" w:hAnsi="맑은 고딕"/>
          <w:b/>
          <w:color w:val="00467F"/>
          <w:sz w:val="28"/>
          <w:rFonts w:eastAsia="맑은 고딕"/>
        </w:rPr>
        <w:t>5. 종합 점수 추정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rPr>
          <w:tblHeader w:val="true"/>
          <w:cantSplit/>
        </w:trPr>
        <w:tc>
          <w:tcPr>
            <w:tcW w:type="dxa" w:w="3025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3025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만점</w:t>
            </w:r>
          </w:p>
        </w:tc>
        <w:tc>
          <w:tcPr>
            <w:tcW w:type="dxa" w:w="3025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추정 점수</w:t>
            </w:r>
          </w:p>
        </w:tc>
      </w:tr>
      <w:tr>
        <w:trPr>
          <w:cantSplit/>
        </w:trPr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사업계획의 타당성 소계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20점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17.0점</w:t>
            </w:r>
          </w:p>
        </w:tc>
      </w:tr>
      <w:tr>
        <w:trPr>
          <w:cantSplit/>
        </w:trP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 xml:space="preserve">  • 대상국가 선정 타당성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5점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4.5점</w:t>
            </w:r>
          </w:p>
        </w:tc>
      </w:tr>
      <w:tr>
        <w:trPr>
          <w:cantSplit/>
        </w:trP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 xml:space="preserve">  • 사업계획의 적정성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10점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8.5점</w:t>
            </w:r>
          </w:p>
        </w:tc>
      </w:tr>
      <w:tr>
        <w:trPr>
          <w:cantSplit/>
        </w:trP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 xml:space="preserve">  • 사업비 사용계획 적정성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5점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4.0점</w:t>
            </w:r>
          </w:p>
        </w:tc>
      </w:tr>
      <w:tr>
        <w:trPr>
          <w:cantSplit/>
        </w:trPr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사업화 성공가능성 소계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35점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26.5점</w:t>
            </w:r>
          </w:p>
        </w:tc>
      </w:tr>
      <w:tr>
        <w:trPr>
          <w:cantSplit/>
        </w:trP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 xml:space="preserve">  • 수익실현 가능성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11.5점</w:t>
            </w:r>
          </w:p>
        </w:tc>
      </w:tr>
      <w:tr>
        <w:trPr>
          <w:cantSplit/>
        </w:trP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 xml:space="preserve">  • 사업 지속가능성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10점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7.5점</w:t>
            </w:r>
          </w:p>
        </w:tc>
      </w:tr>
      <w:tr>
        <w:trPr>
          <w:cantSplit/>
        </w:trP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 xml:space="preserve">  • 환자유치 기여 가능성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10점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7.5점</w:t>
            </w:r>
          </w:p>
        </w:tc>
      </w:tr>
      <w:tr>
        <w:trPr>
          <w:cantSplit/>
        </w:trPr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사업내용의 현실성 소계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30점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25.0점</w:t>
            </w:r>
          </w:p>
        </w:tc>
      </w:tr>
      <w:tr>
        <w:trPr>
          <w:cantSplit/>
        </w:trP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 xml:space="preserve">  • 사업내용의 구체성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12.5점</w:t>
            </w:r>
          </w:p>
        </w:tc>
      </w:tr>
      <w:tr>
        <w:trPr>
          <w:cantSplit/>
        </w:trP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 xml:space="preserve">  • 사업내용의 실현가능성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12.5점</w:t>
            </w:r>
          </w:p>
        </w:tc>
      </w:tr>
      <w:tr>
        <w:trPr>
          <w:cantSplit/>
        </w:trPr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수행기관 역량 및 의지 소계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15점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12.0점</w:t>
            </w:r>
          </w:p>
        </w:tc>
      </w:tr>
      <w:tr>
        <w:trPr>
          <w:cantSplit/>
        </w:trPr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점수 합계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100점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80.5점</w:t>
            </w:r>
          </w:p>
        </w:tc>
      </w:tr>
      <w:tr>
        <w:trPr>
          <w:cantSplit/>
        </w:trP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가산점 (확정)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2점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2.0점 (유치사업자 확정)</w:t>
            </w:r>
          </w:p>
        </w:tc>
      </w:tr>
      <w:tr>
        <w:trPr>
          <w:cantSplit/>
        </w:trP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가산점 (조건부)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3점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0~3점 (의료기관 인증 여부 확인)</w:t>
            </w:r>
          </w:p>
        </w:tc>
      </w:tr>
      <w:tr>
        <w:trPr>
          <w:cantSplit/>
        </w:trPr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최종 추정 합계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105점</w:t>
            </w:r>
          </w:p>
        </w:tc>
        <w:tc>
          <w:tcPr>
            <w:tcW w:type="dxa" w:w="3025"/>
            <w:shd w:val="clear" w:color="auto" w:fill="E8F0FE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82.5~85.5점</w:t>
            </w:r>
          </w:p>
        </w:tc>
      </w:tr>
    </w:tbl>
    <w:p/>
    <w:p>
      <w:r>
        <w:rPr>
          <w:rFonts w:ascii="맑은 고딕" w:hAnsi="맑은 고딕"/>
          <w:b w:val="0"/>
          <w:sz w:val="20"/>
          <w:rFonts w:eastAsia="맑은 고딕"/>
        </w:rPr>
        <w:t>○ 선정 기준 70점 이상 충족: 추정 82.5~85.5점으로 우선협상 대상 가능 범위</w:t>
      </w:r>
    </w:p>
    <w:p>
      <w:r>
        <w:rPr>
          <w:rFonts w:ascii="맑은 고딕" w:hAnsi="맑은 고딕"/>
          <w:b w:val="0"/>
          <w:sz w:val="20"/>
          <w:rFonts w:eastAsia="맑은 고딕"/>
        </w:rPr>
        <w:t>○ 최대 경쟁 리스크: 유치사업자 수익실현 가능성 점수 편차가 클 수 있음</w:t>
      </w:r>
    </w:p>
    <w:p>
      <w:pPr>
        <w:pStyle w:val="Heading1"/>
        <w:keepNext/>
        <w:pageBreakBefore/>
      </w:pPr>
      <w:r>
        <w:rPr>
          <w:rFonts w:ascii="맑은 고딕" w:hAnsi="맑은 고딕"/>
          <w:b/>
          <w:color w:val="00467F"/>
          <w:sz w:val="28"/>
          <w:rFonts w:eastAsia="맑은 고딕"/>
        </w:rPr>
        <w:t>6. Phase B 보강 우선순위</w:t>
      </w:r>
    </w:p>
    <w:p>
      <w:pPr>
        <w:keepNext/>
      </w:pPr>
      <w:r>
        <w:rPr>
          <w:rFonts w:ascii="맑은 고딕" w:hAnsi="맑은 고딕"/>
          <w:b w:val="0"/>
          <w:sz w:val="20"/>
          <w:rFonts w:eastAsia="맑은 고딕"/>
        </w:rPr>
        <w:t>평가 점수 향상을 위해 Phase B에서 보강이 필요한 항목을 우선순위 순으로 정리한다.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rPr>
          <w:cantSplit/>
        </w:trPr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우선순위</w:t>
            </w:r>
          </w:p>
        </w:tc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보강 항목</w:t>
            </w:r>
          </w:p>
        </w:tc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기대 점수 향상</w:t>
            </w:r>
          </w:p>
        </w:tc>
        <w:tc>
          <w:tcPr>
            <w:tcW w:type="dxa" w:w="2269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작업 내용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P1 (즉시)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외국인환자 유치의료기관 평가인증 확인</w:t>
              <w:br/>
              <w:t>→ 가산점 3점 확보 여부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+3점 (가산점)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면력한방병원 평가인증 취득 여부 공식 확인</w:t>
              <w:br/>
              <w:t>인증서 취득 추진 (미취득 시)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P2 (긴급)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수익 모델 구체화</w:t>
              <w:br/>
              <w:t>→ 수익실현 가능성 점수 향상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+1.5~2.5점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2027년 매출 예측 근거 데이터 보강</w:t>
              <w:br/>
              <w:t>계약 의향서·LOI 확보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P3 (중요)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화상 내 실시간 번역 통합</w:t>
              <w:br/>
              <w:t>→ 사업내용 구체성 향상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+1점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FN-TRANS-02 Phase B 완성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P4 (중요)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카자흐스탄 현지 에이전시 계약 체결</w:t>
              <w:br/>
              <w:t>→ 수행기관 역량 점수 향상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+1~1.5점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MOU/계약서 체결 및 증빙 확보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P5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사후관리 AI 자동감지 완성</w:t>
              <w:br/>
              <w:t>→ 사업내용 현실성 향상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+0.5점</w:t>
            </w:r>
          </w:p>
        </w:tc>
        <w:tc>
          <w:tcPr>
            <w:tcW w:type="dxa" w:w="2269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FN-POST-01 AI 이상징후 감지 구현</w:t>
            </w:r>
          </w:p>
        </w:tc>
      </w:tr>
      <w:tr>
        <w:trPr>
          <w:cantSplit/>
        </w:trP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P6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러시아어·카자흐어 UI 100% 완성</w:t>
              <w:br/>
              <w:t>→ 다국어 실현 증빙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+0.5점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FN-I18N-01 전체 번역 완성</w:t>
            </w:r>
          </w:p>
        </w:tc>
      </w:tr>
    </w:tbl>
    <w:p>
      <w:pPr>
        <w:pStyle w:val="Heading1"/>
        <w:keepNext/>
        <w:pageBreakBefore/>
      </w:pPr>
      <w:r>
        <w:rPr>
          <w:rFonts w:ascii="맑은 고딕" w:hAnsi="맑은 고딕"/>
          <w:b/>
          <w:color w:val="00467F"/>
          <w:sz w:val="28"/>
          <w:rFonts w:eastAsia="맑은 고딕"/>
        </w:rPr>
        <w:t>7. 사람 검토 필요 항목 (Human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rPr>
          <w:cantSplit/>
        </w:trPr>
        <w:tc>
          <w:tcPr>
            <w:tcW w:type="dxa" w:w="3025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3025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검토 내용</w:t>
            </w:r>
          </w:p>
        </w:tc>
        <w:tc>
          <w:tcPr>
            <w:tcW w:type="dxa" w:w="3025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담당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유치의료기관 평가인증</w:t>
            </w:r>
          </w:p>
        </w:tc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면력한방병원·신촌면력한방병원의 「외국인환자 유치의료기관 평가인증」 취득 여부 실제 확인</w:t>
              <w:br/>
              <w:t>(등록과 인증은 별개: 인증은 KHIDI 평가 필요)</w:t>
            </w:r>
          </w:p>
        </w:tc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대표/면력한방병원 담당자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대학병원 협진 MOU 공식화</w:t>
            </w:r>
          </w:p>
        </w:tc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이대서울병원·이대목동병원·고대구로병원·신촌세브란스병원과의 협진 MOU 공식 문서 취득</w:t>
              <w:br/>
              <w:t>(사업계획서에 MOU 언급이나 공식 서류 필요)</w:t>
            </w:r>
          </w:p>
        </w:tc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면력한방병원 담당자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카자흐스탄 에이전시 계약</w:t>
            </w:r>
          </w:p>
        </w:tc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알마티·아스타나 에이전시 「접촉 중」 → 「계약 체결」로 전환</w:t>
              <w:br/>
              <w:t>계약서 또는 LOI 확보</w:t>
            </w:r>
          </w:p>
        </w:tc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본로이 마케팅팀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사업비 예산 검토</w:t>
            </w:r>
          </w:p>
        </w:tc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국고보조금 구성: SW 개발 인건비 편성 필수 확인</w:t>
              <w:br/>
              <w:t>홍보비/인건비/임차료 상한(각 20백만원) 준수 확인</w:t>
            </w:r>
          </w:p>
        </w:tc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PM / 회계 담당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개인정보 처리방침 카자흐어 버전</w:t>
            </w:r>
          </w:p>
        </w:tc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카자흐스탄 개인정보보호법(2013) 준거 처리방침 작성 필요</w:t>
              <w:br/>
              <w:t>법률 전문가 검토 권고</w:t>
            </w:r>
          </w:p>
        </w:tc>
        <w:tc>
          <w:tcPr>
            <w:tcW w:type="dxa" w:w="3025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법무 담당 / 외부 법률사무소</w:t>
            </w:r>
          </w:p>
        </w:tc>
      </w:tr>
      <w:tr>
        <w:trPr>
          <w:cantSplit/>
        </w:trP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의료법 검토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「사전상담」 서비스가 의료법상 원격진료로 해석될 리스크 재확인</w:t>
              <w:br/>
              <w:t>법무법인 의견서 취득 권고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법무 담당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b w:val="0"/>
        <w:color w:val="787878"/>
        <w:sz w:val="16"/>
        <w:rFonts w:eastAsia="맑은 고딕"/>
      </w:rPr>
      <w:t xml:space="preserve">본로이  |  기밀문서, 무단 배포 금지     </w: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begin"/>
    </w:r>
    <w:r>
      <w:rPr>
        <w:rFonts w:ascii="맑은 고딕" w:hAnsi="맑은 고딕"/>
        <w:b w:val="0"/>
        <w:color w:val="787878"/>
        <w:sz w:val="16"/>
        <w:rFonts w:eastAsia="맑은 고딕"/>
      </w:rPr>
      <w:instrText xml:space="preserve"> PAGE </w:instrTex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end"/>
    </w:r>
    <w:r>
      <w:rPr>
        <w:rFonts w:ascii="맑은 고딕" w:hAnsi="맑은 고딕"/>
        <w:b w:val="0"/>
        <w:color w:val="787878"/>
        <w:sz w:val="16"/>
        <w:rFonts w:eastAsia="맑은 고딕"/>
      </w:rPr>
      <w:t xml:space="preserve"> / </w: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begin"/>
    </w:r>
    <w:r>
      <w:rPr>
        <w:rFonts w:ascii="맑은 고딕" w:hAnsi="맑은 고딕"/>
        <w:b w:val="0"/>
        <w:color w:val="787878"/>
        <w:sz w:val="16"/>
        <w:rFonts w:eastAsia="맑은 고딕"/>
      </w:rPr>
      <w:instrText xml:space="preserve"> NUMPAGES </w:instrTex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