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HEALO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8월 20일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 (별도 Staging DB 없음)</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 xml:space="preserve">HEALO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사용자 시나리오 전체 플로우 자동화 (회원가입~인테이크~화상상담)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01"/>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01"/>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01"/>
        </w:numPr>
        <w:spacing w:after="40" w:before="40"/>
      </w:pPr>
      <w:r>
        <w:rPr>
          <w:rFonts w:ascii="맑은 고딕" w:cs="맑은 고딕" w:eastAsia="맑은 고딕" w:hAnsi="맑은 고딕"/>
          <w:sz w:val="20"/>
          <w:szCs w:val="20"/>
        </w:rPr>
        <w:t xml:space="preserve">E2E 테스트는 3개 사용자 역할(환자/코디네이터/관리자) 기준</w:t>
      </w:r>
    </w:p>
    <w:p>
      <w:pPr>
        <w:pStyle w:val="ListParagraph"/>
        <w:keepNext/>
        <w:numPr>
          <w:ilvl w:val="0"/>
          <w:numId w:val="101"/>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01"/>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48개 파일 152건이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토큰 인테이크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링크 접속 → 로그인 없이 인테이크 폼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2.2 인테이크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인테이크 DB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제출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인테이크 제출 → 코디네이터 이메일 알림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동일 IP에서 60회/분 초과 요청 → 429 Too Many Requests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인테이크 제출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맑은 고딕" w:cs="맑은 고딕" w:eastAsia="맑은 고딕" w:hAnsi="맑은 고딕"/>
                <w:b w:val="false"/>
                <w:bCs w:val="false"/>
                <w:sz w:val="18"/>
                <w:szCs w:val="18"/>
              </w:rPr>
              <w:t>2026-08-19</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2건 (운영 의존성 기준, 2026-08-20 실행)</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(8월 20일)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모바일 5.31초 / 데스크톱 1.12초</w:t>
            </w:r>
          </w:p>
        </w:tc>
        <w:tc>
          <w:tcPr>
            <w:tcW w:type="dxa" w:w="2506"/>
          </w:tcPr>
          <w:p>
            <w:r/>
            <w:r>
              <w:rPr>
                <w:rFonts w:ascii="맑은 고딕" w:hAnsi="맑은 고딕"/>
                <w:b w:val="0"/>
                <w:sz w:val="18"/>
                <w:rFonts w:eastAsia="맑은 고딕"/>
              </w:rPr>
              <w:t>각 5회 반복 측정의 중앙값. 데스크톱 충족, 모바일 미달. 다만 모바일 값은 저속 4G·CPU 4배 감속을 «가정해 계산한» 값이다. 같은 저사양 기기 조건에서 회선만 정상이면 0.68초, 감속 없이 실제로 재면 0.42초로, 실제 이용자가 겪는 지연과는 차이가 크다. 원인은 규명되어 있다 — 웹글꼴(Pretendard)을 내려받는 동안 첫 화면 글자 블록이 최종 모양으로 다시 그려지기 때문이며, 글꼴 요청을 차단하면 스타일·레이아웃 계산이 842ms 에서 434ms 로 줄어든다. 2026. 7. 27. 개선안 5종(미리받기·차단형 로딩·히어로 시스템 글꼴 등)을 각 4회 비교 측정했으나 글꼴을 아예 쓰지 않는 것 외에는 효과가 없었고, 이는 사이트 타이포그래피 전체를 포기하는 값이라 채택하지 않았다. 상시 관찰 대상</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모바일 0.045 / 데스크톱 0.008</w:t>
            </w:r>
          </w:p>
        </w:tc>
        <w:tc>
          <w:tcPr>
            <w:tcW w:type="dxa" w:w="2506"/>
          </w:tcPr>
          <w:p>
            <w:r/>
            <w:r>
              <w:rPr>
                <w:rFonts w:ascii="맑은 고딕" w:hAnsi="맑은 고딕"/>
                <w:b w:val="0"/>
                <w:sz w:val="18"/>
                <w:rFonts w:eastAsia="맑은 고딕"/>
              </w:rPr>
              <w:t>수정 전 데스크톱 0.51(5회 중 4회 발생)·모바일 0.95. 실서비스 반영 뒤 각 5회 재측정 결과 목표를 넘긴 회차 0/5. 양쪽 충족</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모바일 372ms / 데스크톱 6ms</w:t>
            </w:r>
          </w:p>
        </w:tc>
        <w:tc>
          <w:tcPr>
            <w:tcW w:type="dxa" w:w="2506"/>
          </w:tcPr>
          <w:p>
            <w:r/>
            <w:r>
              <w:rPr>
                <w:rFonts w:ascii="맑은 고딕" w:hAnsi="맑은 고딕"/>
                <w:b w:val="0"/>
                <w:sz w:val="18"/>
                <w:rFonts w:eastAsia="맑은 고딕"/>
              </w:rPr>
              <w:t>각 5회 중앙값. FID 는 폐지된 지표로 총 차단 시간(TBT)으로 대체 측정. 데스크톱 충족, 모바일은 CPU 4배 감속 가정에서 미달. LCP 와 원인을 공유한다. 상시 관찰 대상</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모바일 609ms / 데스크톱 172ms</w:t>
            </w:r>
          </w:p>
        </w:tc>
        <w:tc>
          <w:tcPr>
            <w:tcW w:type="dxa" w:w="2506"/>
          </w:tcPr>
          <w:p>
            <w:r/>
            <w:r>
              <w:rPr>
                <w:rFonts w:ascii="맑은 고딕" w:hAnsi="맑은 고딕"/>
                <w:b w:val="0"/>
                <w:sz w:val="18"/>
                <w:rFonts w:eastAsia="맑은 고딕"/>
              </w:rPr>
              <w:t>양쪽 충족</w:t>
            </w:r>
          </w:p>
        </w:tc>
      </w:tr>
      <w:tr>
        <w:tc>
          <w:tcPr>
            <w:tcW w:type="dxa" w:w="2000"/>
          </w:tcPr>
          <w:p>
            <w:r/>
            <w:r>
              <w:rPr>
                <w:rFonts w:ascii="맑은 고딕" w:hAnsi="맑은 고딕"/>
                <w:b/>
                <w:sz w:val="18"/>
                <w:rFonts w:eastAsia="맑은 고딕"/>
              </w:rPr>
              <w:t>AI 챗 첫 토큰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토큰 중앙값 2.30초 · 상위 5% 3.84초 (완료 기준 3.03초 / 4.00초)</w:t>
            </w:r>
          </w:p>
        </w:tc>
        <w:tc>
          <w:tcPr>
            <w:tcW w:type="dxa" w:w="2506"/>
          </w:tcPr>
          <w:p>
            <w:r/>
            <w:r>
              <w:rPr>
                <w:rFonts w:ascii="맑은 고딕" w:hAnsi="맑은 고딕"/>
                <w:b w:val="0"/>
                <w:sz w:val="18"/>
                <w:rFonts w:eastAsia="맑은 고딕"/>
              </w:rPr>
              <w:t>실서비스 스트리밍 응답 10건 실측(2026. 8. 21., ko·en·ru·kz). 검색·프롬프트 구성까지 포함한 실제 경로다. 충족</w:t>
            </w:r>
          </w:p>
        </w:tc>
      </w:tr>
    </w:tbl>
    <w:p>
      <w:pPr>
        <w:pBdr>
          <w:left w:val="single" w:color="1976D2" w:sz="8" w:space="4"/>
        </w:pBdr>
        <w:spacing w:after="60" w:before="60"/>
      </w:pPr>
      <w:r>
        <w:rPr>
          <w:rFonts w:ascii="맑은 고딕" w:cs="맑은 고딕" w:eastAsia="맑은 고딕" w:hAnsi="맑은 고딕"/>
          <w:i/>
          <w:iCs/>
          <w:color w:val="1565C0"/>
          <w:sz w:val="18"/>
          <w:szCs w:val="18"/>
        </w:rPr>
        <w:t>Lighthouse 12.8.2 실측(2026. 8. 21., https://healwith.co.kr/ko). 모바일·데스크톱 각 5회 측정의 중앙값이며, 모바일은 저속 4G·CPU 4배 감속 조건이다. 첫 화면 전송량은 모바일 841KB · 데스크톱 956KB(자원 70건)이고, 구성은 스크립트 302KB · 이미지 179KB · 글꼴 173KB · 문서 129KB · 스타일 43KB 순이다.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5항목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실측(모바일·데스크톱 각 5회). CLS·TTFB·AI 첫 토큰 응답 충족, LCP·TBT 는 데스크톱만 충족 — 모바일 2건 개선 과제</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0건 · High 0건 · Moderate 2건 (2026-08-20)</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97건(2026-08-20 실측)</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 실패 2건은 의뢰서 접수 뒤 완료 화면을 기다리는 검사로, 다시 돌리면 실패 건수가 달라지고(2건→1건) 자동 검사 서버에서는 통과한다. 접수 자체는 운영DB 저장까지 확인했다</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테스트 미흡 영역 (2026-04 지적 → 2026-08-20 해소 내역)</w:t>
      </w:r>
    </w:p>
    <w:p>
      <w:pPr>
        <w:pStyle w:val="ListParagraph"/>
        <w:keepNext/>
        <w:numPr>
          <w:ilvl w:val="0"/>
          <w:numId w:val="102"/>
        </w:numPr>
        <w:spacing w:after="40" w:before="40"/>
      </w:pPr>
      <w:r>
        <w:rPr>
          <w:rFonts w:ascii="맑은 고딕" w:cs="맑은 고딕" w:eastAsia="맑은 고딕" w:hAnsi="맑은 고딕"/>
          <w:sz w:val="20"/>
          <w:szCs w:val="20"/>
        </w:rPr>
        <w:t>[해소됨 2026-08-20] Playwright E2E 스크립트 도입 완료: 48개 파일 152건. 매 변경 시 스모크, 매일 밤 전체 실행.</w:t>
      </w:r>
    </w:p>
    <w:p>
      <w:pPr>
        <w:pStyle w:val="ListParagraph"/>
        <w:keepNext/>
        <w:numPr>
          <w:ilvl w:val="0"/>
          <w:numId w:val="102"/>
        </w:numPr>
        <w:spacing w:after="40" w:before="40"/>
      </w:pPr>
      <w:r>
        <w:rPr>
          <w:rFonts w:ascii="맑은 고딕" w:cs="맑은 고딕" w:eastAsia="맑은 고딕" w:hAnsi="맑은 고딕"/>
          <w:sz w:val="20"/>
          <w:szCs w:val="20"/>
        </w:rPr>
        <w:t>[해소됨 2026-08-20] 단위 테스트 146개 파일 1,289건 도입 완료(전건 통과).</w:t>
      </w:r>
    </w:p>
    <w:p>
      <w:pPr>
        <w:pStyle w:val="ListParagraph"/>
        <w:keepNext/>
        <w:numPr>
          <w:ilvl w:val="0"/>
          <w:numId w:val="102"/>
        </w:numPr>
        <w:spacing w:after="40" w:before="40"/>
      </w:pPr>
      <w:r>
        <w:rPr>
          <w:rFonts w:ascii="맑은 고딕" w:cs="맑은 고딕" w:eastAsia="맑은 고딕" w:hAnsi="맑은 고딕"/>
          <w:sz w:val="20"/>
          <w:szCs w:val="20"/>
        </w:rPr>
        <w:t>성능 자동화: Lighthouse CI 파이프라인 미설정 (예정)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(2026-08-19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통번역 3,543건(시험 방 제외 3,277건)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146개 파일 1,289건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HEALO-2026-DOC-08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완료 (성능 수치 갱신 예정)</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8. 20.</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경로 정정 내역</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대체한 옛 화면</w:t>
            </w:r>
          </w:p>
        </w:tc>
        <w:tc>
          <w:tcPr>
            <w:tcW w:type="dxa" w:w="2889"/>
            <w:shd w:val="clear" w:color="auto" w:fill="00467F"/>
          </w:tcPr>
          <w:p>
            <w:r/>
            <w:r>
              <w:rPr>
                <w:rFonts w:ascii="맑은 고딕" w:hAnsi="맑은 고딕"/>
                <w:b/>
                <w:color w:val="FFFFFF"/>
                <w:sz w:val="18"/>
                <w:rFonts w:eastAsia="맑은 고딕"/>
              </w:rPr>
              <w:t>사유</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146개 파일 / 1,289건</w:t>
            </w:r>
          </w:p>
        </w:tc>
        <w:tc>
          <w:tcPr>
            <w:tcW w:type="dxa" w:w="2889"/>
          </w:tcPr>
          <w:p>
            <w:r/>
            <w:r>
              <w:rPr>
                <w:rFonts w:ascii="맑은 고딕" w:hAnsi="맑은 고딕"/>
                <w:b w:val="0"/>
                <w:sz w:val="18"/>
                <w:rFonts w:eastAsia="맑은 고딕"/>
              </w:rPr>
              <w:t>전건 통과 (2026-08-20 실행, 32.7초)</w:t>
            </w:r>
          </w:p>
        </w:tc>
      </w:tr>
      <w:tr>
        <w:tc>
          <w:tcPr>
            <w:tcW w:type="dxa" w:w="2889"/>
          </w:tcPr>
          <w:p>
            <w:r/>
            <w:r>
              <w:rPr>
                <w:rFonts w:ascii="맑은 고딕" w:hAnsi="맑은 고딕"/>
                <w:b/>
                <w:sz w:val="18"/>
                <w:rFonts w:eastAsia="맑은 고딕"/>
              </w:rPr>
              <w:t>통합·E2E 테스트</w:t>
            </w:r>
          </w:p>
        </w:tc>
        <w:tc>
          <w:tcPr>
            <w:tcW w:type="dxa" w:w="2889"/>
          </w:tcPr>
          <w:p>
            <w:r/>
            <w:r>
              <w:rPr>
                <w:rFonts w:ascii="맑은 고딕" w:hAnsi="맑은 고딕"/>
                <w:b w:val="0"/>
                <w:sz w:val="18"/>
                <w:rFonts w:eastAsia="맑은 고딕"/>
              </w:rPr>
              <w:t>48개 파일 / 152건</w:t>
            </w:r>
          </w:p>
        </w:tc>
        <w:tc>
          <w:tcPr>
            <w:tcW w:type="dxa" w:w="2889"/>
          </w:tcPr>
          <w:p>
            <w:r/>
            <w:r>
              <w:rPr>
                <w:rFonts w:ascii="맑은 고딕" w:hAnsi="맑은 고딕"/>
                <w:b w:val="0"/>
                <w:sz w:val="18"/>
                <w:rFonts w:eastAsia="맑은 고딕"/>
              </w:rPr>
              <w:t>자동 실행</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 참조</w:t>
            </w:r>
          </w:p>
        </w:tc>
        <w:tc>
          <w:tcPr>
            <w:tcW w:type="dxa" w:w="2889"/>
          </w:tcPr>
          <w:p>
            <w:r/>
            <w:r>
              <w:rPr>
                <w:rFonts w:ascii="맑은 고딕" w:hAnsi="맑은 고딕"/>
                <w:b w:val="0"/>
                <w:sz w:val="18"/>
                <w:rFonts w:eastAsia="맑은 고딕"/>
              </w:rPr>
              <w:t>없는 표·칸 조회와 마이그레이션 재실행 충돌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 일관성</w:t>
            </w:r>
          </w:p>
        </w:tc>
        <w:tc>
          <w:tcPr>
            <w:tcW w:type="dxa" w:w="2889"/>
          </w:tcPr>
          <w:p>
            <w:r/>
            <w:r>
              <w:rPr>
                <w:rFonts w:ascii="맑은 고딕" w:hAnsi="맑은 고딕"/>
                <w:b w:val="0"/>
                <w:sz w:val="18"/>
                <w:rFonts w:eastAsia="맑은 고딕"/>
              </w:rPr>
              <w:t>폐지된 경로·용어, 6개 언어 키 누락 검사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 의존성</w:t>
            </w:r>
          </w:p>
        </w:tc>
        <w:tc>
          <w:tcPr>
            <w:tcW w:type="dxa" w:w="2889"/>
          </w:tcPr>
          <w:p>
            <w:r/>
            <w:r>
              <w:rPr>
                <w:rFonts w:ascii="맑은 고딕" w:hAnsi="맑은 고딕"/>
                <w:b w:val="0"/>
                <w:sz w:val="18"/>
                <w:rFonts w:eastAsia="맑은 고딕"/>
              </w:rPr>
              <w:t>취약점 공고 단위 판정(기한부 예외 관리)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 E2E</w:t>
            </w:r>
          </w:p>
        </w:tc>
        <w:tc>
          <w:tcPr>
            <w:tcW w:type="dxa" w:w="2889"/>
          </w:tcPr>
          <w:p>
            <w:r/>
            <w:r>
              <w:rPr>
                <w:rFonts w:ascii="맑은 고딕" w:hAnsi="맑은 고딕"/>
                <w:b w:val="0"/>
                <w:sz w:val="18"/>
                <w:rFonts w:eastAsia="맑은 고딕"/>
              </w:rPr>
              <w:t>주요 화면·흐름 자동 클릭 검증</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야간 전체 E2E</w:t>
            </w:r>
          </w:p>
        </w:tc>
        <w:tc>
          <w:tcPr>
            <w:tcW w:type="dxa" w:w="2889"/>
          </w:tcPr>
          <w:p>
            <w:r/>
            <w:r>
              <w:rPr>
                <w:rFonts w:ascii="맑은 고딕" w:hAnsi="맑은 고딕"/>
                <w:b w:val="0"/>
                <w:sz w:val="18"/>
                <w:rFonts w:eastAsia="맑은 고딕"/>
              </w:rPr>
              <w:t>전체 시나리오 및 접근성·잘림 검사</w:t>
            </w:r>
          </w:p>
        </w:tc>
        <w:tc>
          <w:tcPr>
            <w:tcW w:type="dxa" w:w="2889"/>
          </w:tcPr>
          <w:p>
            <w:r/>
            <w:r>
              <w:rPr>
                <w:rFonts w:ascii="맑은 고딕" w:hAnsi="맑은 고딕"/>
                <w:b w:val="0"/>
                <w:sz w:val="18"/>
                <w:rFonts w:eastAsia="맑은 고딕"/>
              </w:rPr>
              <w:t>매일 자동 실행</w:t>
            </w:r>
          </w:p>
        </w:tc>
      </w:tr>
    </w:tbl>
    <w:p/>
    <w:p>
      <w:r>
        <w:rPr>
          <w:rFonts w:ascii="맑은 고딕" w:hAnsi="맑은 고딕"/>
          <w:b/>
          <w:color w:val="00467F"/>
          <w:sz w:val="24"/>
          <w:rFonts w:eastAsia="맑은 고딕"/>
        </w:rPr>
        <w:t>5.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8. 20.)</w:t>
            </w:r>
          </w:p>
        </w:tc>
        <w:tc>
          <w:tcPr>
            <w:tcW w:type="dxa" w:w="2889"/>
          </w:tcPr>
          <w:p>
            <w:r/>
            <w:r>
              <w:rPr>
                <w:rFonts w:ascii="맑은 고딕" w:hAnsi="맑은 고딕"/>
                <w:b w:val="0"/>
                <w:sz w:val="18"/>
                <w:rFonts w:eastAsia="맑은 고딕"/>
              </w:rPr>
              <w:t>실적 수치의 원천</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 xml:space="preserve">HEALO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