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 — 인증은 별도 절차)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—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2점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 —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 추정: 2점 (유치사업자 확정) + 3점 (유치의료기관 인증 여부 확인 필요) = 2~5점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 —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 — 인증은 KHIDI 평가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