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 — 인증은 별도 절차)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등록 완료 (인증은 별도 확인 필요)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—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충족 —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❌ 미충족 —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가산점 추정: 2점 (유치사업자 확정) + 3점 (유치의료기관 인증 여부 확인 필요) = 2~5점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선정 기준 70점 이상 충족 —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▶ 최대 경쟁 리스크: 유치사업자 수익실현 가능성 점수 편차가 클 수 있음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 — 인증은 KHIDI 평가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