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진척률 96%, KPI 진행, 주요성과, 이슈해결, 예산, 잔여계획 (~18p) — 2026-08-19 갱신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