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미들웨어에서 /patient/*, /admin/*, /coordinator/*, /hospital/*, /agency/*, /clinic/* 보호.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middleware.js, src/lib/auth/accountTiers.ts (계층 단일 표준)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/app/patient/cost-estimates (UI 있음, AI 자동산출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Human Agent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/app/api/translate, /app/api/translate-text (번역 API 완성, 화상 내 실시간 통합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(UI 있음, 자동 리마인더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/app/patient/symptoms (화면 있음, AI 자동감지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/app/patient/education, /app/education (화면 있음, 러시아어 콘텐츠 일부)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/app/[locale] (ru·kz 포함 6개 언어, 문구 누락은 자동 검사로 상시 확인)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/app/patient/messages (화면 있음, 실시간 푸시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(*_encrypted 컬럼).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migrations/20260420_drop_*_plaintext (작성 완료·미실행)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 (+ /app/api/livekit/webhook)</w:t>
              <w:br/>
              <w:t>/app/telemedicine/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src/lib/email/sendEmail.ts/*</w:t>
              <w:br/>
              <w:t>src/lib/email/*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*_encrypted 컬럼 데이터 보호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"의료 정보 제공 및 연결 서비스"로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