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“검사결과·영상정보 전송·수집·저장”은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“지속”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운영(등록 9개 기관),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9건(운영DB)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접수 145건(실환자 8건 · 시험 137건,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 · 시험 137건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운영(상담세션 실환자 16건 · 시험 117건):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상담세션 실환자 16건(시험 117건 제외)</w:t>
              <w:br/>
              <w:t>· 비자 관리 3개 테이블 구축(실데이터 0건: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“전송·수집·저장”은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완료(실데이터 0건: 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“지속”이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</w:t>
              <w:br/>
              <w:t>· 만족도 설문 발송 2건·응답 1건</w:t>
              <w:br/>
              <w:t>· 증상 보고 1건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20. 운영데이터베이스 정확 집계 결과는 다음과 같음. 시험 데이터는 분리 표기함.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137건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 세션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117건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화상상담 실제 진행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 / 1건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