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사후 정리, 추진체계, 일정, KPI, 위험관리 (~14p)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진척률 96%, KPI 진행, 주요성과, 이슈해결, 예산, 잔여계획 (~18p) — 2026-08-19 갱신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착수보고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 후 제출 —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7. 27.)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15건, 상담세션 실건 10건.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8건, 상담세션 실건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