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v1.0  |  2026.04.30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4월 30일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 — 인증은 별도 절차)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🟡 등록 완료 (인증은 별도 확인 필요)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—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✅ 충족 —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❌ 미충족 —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가산점 추정: 2점 (유치사업자 확정) + 3점 (유치의료기관 인증 여부 확인 필요) = 2~5점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▶ 선정 기준 70점 이상 충족 —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▶ 최대 경쟁 리스크: 유치사업자 수익실현 가능성 점수 편차가 클 수 있음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 — 인증은 KHIDI 평가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