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맑은 고딕" w:hAnsi="맑은 고딕"/>
          <w:b w:val="0"/>
          <w:color w:val="5A5A5A"/>
          <w:sz w:val="22"/>
          <w:rFonts w:eastAsia="맑은 고딕"/>
        </w:rPr>
        <w:t>2026년 KHIDI「ICT 기반 외국인환자 사전상담·사후관리 지원 사업」</w:t>
      </w:r>
    </w:p>
    <w:p>
      <w:pPr>
        <w:spacing w:before="360"/>
        <w:jc w:val="center"/>
      </w:pPr>
      <w:r>
        <w:rPr>
          <w:rFonts w:ascii="맑은 고딕" w:hAnsi="맑은 고딕"/>
          <w:b/>
          <w:color w:val="00467F"/>
          <w:sz w:val="48"/>
          <w:rFonts w:eastAsia="맑은 고딕"/>
        </w:rPr>
        <w:t>백오피스 계층별 재설계</w:t>
      </w:r>
    </w:p>
    <w:p>
      <w:pPr>
        <w:keepNext/>
        <w:jc w:val="center"/>
      </w:pPr>
      <w:r>
        <w:rPr>
          <w:rFonts w:ascii="맑은 고딕" w:hAnsi="맑은 고딕"/>
          <w:b/>
          <w:color w:val="00467F"/>
          <w:sz w:val="34"/>
          <w:rFonts w:eastAsia="맑은 고딕"/>
        </w:rPr>
        <w:t>요구사항 분석표 및 요구사항 반영 대비표</w:t>
      </w:r>
    </w:p>
    <w:p>
      <w:pPr>
        <w:keepNext/>
        <w:spacing w:before="120"/>
        <w:jc w:val="center"/>
      </w:pPr>
      <w:r>
        <w:rPr>
          <w:rFonts w:ascii="맑은 고딕" w:hAnsi="맑은 고딕"/>
          <w:b w:val="0"/>
          <w:color w:val="787878"/>
          <w:sz w:val="20"/>
          <w:rFonts w:eastAsia="맑은 고딕"/>
        </w:rPr>
        <w:t>(Requirements Analysis &amp; Traceability Matrix)</w:t>
      </w:r>
    </w:p>
    <w:p>
      <w:pPr>
        <w:keepNext/>
        <w:spacing w:after="6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cantSplit/>
        </w:trPr>
        <w:tc>
          <w:tcPr>
            <w:tcW w:type="dxa" w:w="1928"/>
            <w:shd w:val="clear" w:color="auto" w:fill="EAF1F7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산출물 번호</w:t>
            </w:r>
          </w:p>
        </w:tc>
        <w:tc>
          <w:tcPr>
            <w:tcW w:type="dxa" w:w="6576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10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1F7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산출물명</w:t>
            </w:r>
          </w:p>
        </w:tc>
        <w:tc>
          <w:tcPr>
            <w:tcW w:type="dxa" w:w="6576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백오피스 계층별 재설계 요구사항 대비표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1F7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대상 범위</w:t>
            </w:r>
          </w:p>
        </w:tc>
        <w:tc>
          <w:tcPr>
            <w:tcW w:type="dxa" w:w="6576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백오피스 5개 계층 (관리자·코디네이터·국내의료기관·해외에이전시·해외의료기관)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1F7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요구사항 건수</w:t>
            </w:r>
          </w:p>
        </w:tc>
        <w:tc>
          <w:tcPr>
            <w:tcW w:type="dxa" w:w="6576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기능 8건 · 보안/권한 6건 · 비기능 6건 · 과제요건 2건 = 총 22건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1F7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반영 결과</w:t>
            </w:r>
          </w:p>
        </w:tc>
        <w:tc>
          <w:tcPr>
            <w:tcW w:type="dxa" w:w="6576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충족 20건 · 부분충족 1건 · 대안반영 1건 (반영률 100%, 완전충족률 90.9%)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1F7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상위 산출물</w:t>
            </w:r>
          </w:p>
        </w:tc>
        <w:tc>
          <w:tcPr>
            <w:tcW w:type="dxa" w:w="6576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01_요구사항정의서.docx (FR-01~28 / NFR-01~23)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1F7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수행기관</w:t>
            </w:r>
          </w:p>
        </w:tc>
        <w:tc>
          <w:tcPr>
            <w:tcW w:type="dxa" w:w="6576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본로이 (Bonroi): 플랫폼 HEALO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1F7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작성일</w:t>
            </w:r>
          </w:p>
        </w:tc>
        <w:tc>
          <w:tcPr>
            <w:tcW w:type="dxa" w:w="6576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2026-07-25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1F7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작성 근거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소스코드 실측 + 운영DB 정확 COUNT (2026-07-25 조회)</w:t>
            </w:r>
          </w:p>
        </w:tc>
      </w:tr>
    </w:tbl>
    <w:p>
      <w:pPr>
        <w:pStyle w:val="Heading1"/>
        <w:pageBreakBefore/>
      </w:pPr>
      <w:r>
        <w:rPr>
          <w:rFonts w:ascii="맑은 고딕" w:hAnsi="맑은 고딕"/>
          <w:b/>
          <w:color w:val="00467F"/>
          <w:sz w:val="30"/>
          <w:rFonts w:eastAsia="맑은 고딕"/>
        </w:rPr>
        <w:t>1. 산출물 개요</w:t>
      </w:r>
    </w:p>
    <w:p>
      <w:pPr>
        <w:pStyle w:val="Heading2"/>
      </w:pPr>
      <w:r>
        <w:rPr>
          <w:rFonts w:ascii="맑은 고딕" w:hAnsi="맑은 고딕"/>
          <w:b/>
          <w:color w:val="00467F"/>
          <w:sz w:val="25"/>
          <w:rFonts w:eastAsia="맑은 고딕"/>
        </w:rPr>
        <w:t>1.1 목적</w:t>
      </w:r>
    </w:p>
    <w:p>
      <w:pPr>
        <w:spacing w:after="120"/>
      </w:pPr>
      <w:r>
        <w:rPr>
          <w:rFonts w:ascii="맑은 고딕" w:hAnsi="맑은 고딕"/>
          <w:b w:val="0"/>
          <w:sz w:val="20"/>
          <w:rFonts w:eastAsia="맑은 고딕"/>
        </w:rPr>
        <w:t>본 산출물은 「백오피스 계층별 재설계」 과업에 대하여 ①요구사항을 정의·분류하고 ②각 요구사항이 실제 시스템에 어떻게 반영되었는지를 산출물·검증근거와 함께 1:1로 대비하여 제3자가 반영 여부를 추적·확인할 수 있도록 작성한 요구사항 추적 문서이다.</w:t>
      </w:r>
    </w:p>
    <w:p>
      <w:pPr>
        <w:pStyle w:val="Heading2"/>
      </w:pPr>
      <w:r>
        <w:rPr>
          <w:rFonts w:ascii="맑은 고딕" w:hAnsi="맑은 고딕"/>
          <w:b/>
          <w:color w:val="00467F"/>
          <w:sz w:val="25"/>
          <w:rFonts w:eastAsia="맑은 고딕"/>
        </w:rPr>
        <w:t>1.2 과업 배경</w:t>
      </w:r>
    </w:p>
    <w:p>
      <w:pPr>
        <w:spacing w:after="80"/>
      </w:pPr>
      <w:r>
        <w:rPr>
          <w:rFonts w:ascii="맑은 고딕" w:hAnsi="맑은 고딕"/>
          <w:b w:val="0"/>
          <w:sz w:val="20"/>
          <w:rFonts w:eastAsia="맑은 고딕"/>
        </w:rPr>
        <w:t>본 사업의 백오피스는 계층별로 순차 구축되어, 계층 간 연결과 권한 경계의 정합성이 검증되지 않은 상태였다. 이에 2026-07-24 전 계층을 대상으로 현황을 실측하고 요구사항을 재정의하여 재설계를 수행하였다.</w:t>
      </w:r>
    </w:p>
    <w:p>
      <w:pPr>
        <w:spacing w:after="40"/>
        <w:ind w:left="283"/>
      </w:pPr>
      <w:r>
        <w:rPr>
          <w:rFonts w:ascii="맑은 고딕" w:hAnsi="맑은 고딕"/>
          <w:b w:val="0"/>
          <w:sz w:val="20"/>
          <w:rFonts w:eastAsia="맑은 고딕"/>
        </w:rPr>
        <w:t>· 재설계 방식: 설계(청사진)는 5개 계층 일괄 · 구현은 단계별 5회 분할 배포</w:t>
      </w:r>
    </w:p>
    <w:p>
      <w:pPr>
        <w:spacing w:after="40"/>
        <w:ind w:left="283"/>
      </w:pPr>
      <w:r>
        <w:rPr>
          <w:rFonts w:ascii="맑은 고딕" w:hAnsi="맑은 고딕"/>
          <w:b w:val="0"/>
          <w:sz w:val="20"/>
          <w:rFonts w:eastAsia="맑은 고딕"/>
        </w:rPr>
        <w:t>· 수행 기간: 2026-07-24 (설계·구현·배포 완료) / 실측 재확인: 2026-07-25</w:t>
      </w:r>
    </w:p>
    <w:p>
      <w:pPr>
        <w:keepNext/>
        <w:spacing w:after="120"/>
        <w:ind w:left="283"/>
      </w:pPr>
      <w:r>
        <w:rPr>
          <w:rFonts w:ascii="맑은 고딕" w:hAnsi="맑은 고딕"/>
          <w:b w:val="0"/>
          <w:sz w:val="20"/>
          <w:rFonts w:eastAsia="맑은 고딕"/>
        </w:rPr>
        <w:t>· 형상 이력: PR #945(1~2단계) · #955(3단계) · #962(4단계) · #966(5단계)</w:t>
      </w:r>
    </w:p>
    <w:p>
      <w:pPr>
        <w:pStyle w:val="Heading2"/>
        <w:keepNext/>
      </w:pPr>
      <w:r>
        <w:rPr>
          <w:rFonts w:ascii="맑은 고딕" w:hAnsi="맑은 고딕"/>
          <w:b/>
          <w:color w:val="00467F"/>
          <w:sz w:val="25"/>
          <w:rFonts w:eastAsia="맑은 고딕"/>
        </w:rPr>
        <w:t>1.3 요구사항 수집 출처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7"/>
        <w:gridCol w:w="2467"/>
        <w:gridCol w:w="2467"/>
        <w:gridCol w:w="2467"/>
      </w:tblGrid>
      <w:tr>
        <w:trPr>
          <w:cantSplit/>
        </w:trPr>
        <w:tc>
          <w:tcPr>
            <w:tcW w:type="dxa" w:w="1247"/>
            <w:shd w:val="clear" w:color="auto" w:fill="00467F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출처 코드</w:t>
            </w:r>
          </w:p>
        </w:tc>
        <w:tc>
          <w:tcPr>
            <w:tcW w:type="dxa" w:w="2835"/>
            <w:shd w:val="clear" w:color="auto" w:fill="00467F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출처</w:t>
            </w:r>
          </w:p>
        </w:tc>
        <w:tc>
          <w:tcPr>
            <w:tcW w:type="dxa" w:w="3175"/>
            <w:shd w:val="clear" w:color="auto" w:fill="00467F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수집 방법</w:t>
            </w:r>
          </w:p>
        </w:tc>
        <w:tc>
          <w:tcPr>
            <w:tcW w:type="dxa" w:w="1247"/>
            <w:shd w:val="clear" w:color="auto" w:fill="00467F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도출 건수</w:t>
            </w:r>
          </w:p>
        </w:tc>
      </w:tr>
      <w:tr>
        <w:trPr>
          <w:cantSplit/>
        </w:trPr>
        <w:tc>
          <w:tcPr>
            <w:tcW w:type="dxa" w:w="2467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S1</w:t>
            </w:r>
          </w:p>
        </w:tc>
        <w:tc>
          <w:tcPr>
            <w:tcW w:type="dxa" w:w="2467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발주자(PO) 요구 및 운영 페인포인트</w:t>
            </w:r>
          </w:p>
        </w:tc>
        <w:tc>
          <w:tcPr>
            <w:tcW w:type="dxa" w:w="2467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구두 지시 및 운영 중 문제 제기 정리</w:t>
            </w:r>
          </w:p>
        </w:tc>
        <w:tc>
          <w:tcPr>
            <w:tcW w:type="dxa" w:w="2467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7건</w:t>
            </w:r>
          </w:p>
        </w:tc>
      </w:tr>
      <w:tr>
        <w:trPr>
          <w:cantSplit/>
        </w:trPr>
        <w:tc>
          <w:tcPr>
            <w:tcW w:type="dxa" w:w="2467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S2</w:t>
            </w:r>
          </w:p>
        </w:tc>
        <w:tc>
          <w:tcPr>
            <w:tcW w:type="dxa" w:w="2467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현행 시스템 실측 (소스코드 정적 분석)</w:t>
            </w:r>
          </w:p>
        </w:tc>
        <w:tc>
          <w:tcPr>
            <w:tcW w:type="dxa" w:w="2467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인증 가드·권한 분기·화면 구조 전수 확인</w:t>
            </w:r>
          </w:p>
        </w:tc>
        <w:tc>
          <w:tcPr>
            <w:tcW w:type="dxa" w:w="2467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6건</w:t>
            </w:r>
          </w:p>
        </w:tc>
      </w:tr>
      <w:tr>
        <w:trPr>
          <w:cantSplit/>
        </w:trPr>
        <w:tc>
          <w:tcPr>
            <w:tcW w:type="dxa" w:w="2467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S3</w:t>
            </w:r>
          </w:p>
        </w:tc>
        <w:tc>
          <w:tcPr>
            <w:tcW w:type="dxa" w:w="2467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운영DB 실측 (정확 COUNT)</w:t>
            </w:r>
          </w:p>
        </w:tc>
        <w:tc>
          <w:tcPr>
            <w:tcW w:type="dxa" w:w="2467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테이블별 데이터 생존 여부 조회</w:t>
            </w:r>
          </w:p>
        </w:tc>
        <w:tc>
          <w:tcPr>
            <w:tcW w:type="dxa" w:w="2467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2건</w:t>
            </w:r>
          </w:p>
        </w:tc>
      </w:tr>
      <w:tr>
        <w:trPr>
          <w:cantSplit/>
        </w:trPr>
        <w:tc>
          <w:tcPr>
            <w:tcW w:type="dxa" w:w="2467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S4</w:t>
            </w:r>
          </w:p>
        </w:tc>
        <w:tc>
          <w:tcPr>
            <w:tcW w:type="dxa" w:w="2467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상위 산출물 01_요구사항정의서</w:t>
            </w:r>
          </w:p>
        </w:tc>
        <w:tc>
          <w:tcPr>
            <w:tcW w:type="dxa" w:w="2467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FR-02·22·23·24 / NFR-05·07·08·09·17 승계</w:t>
            </w:r>
          </w:p>
        </w:tc>
        <w:tc>
          <w:tcPr>
            <w:tcW w:type="dxa" w:w="2467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5건</w:t>
            </w:r>
          </w:p>
        </w:tc>
      </w:tr>
      <w:tr>
        <w:trPr>
          <w:cantSplit/>
        </w:trPr>
        <w:tc>
          <w:tcPr>
            <w:tcW w:type="dxa" w:w="2467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S5</w:t>
            </w:r>
          </w:p>
        </w:tc>
        <w:tc>
          <w:tcPr>
            <w:tcW w:type="dxa" w:w="2467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KHIDI 공고 성과지표 및 정성지표</w:t>
            </w:r>
          </w:p>
        </w:tc>
        <w:tc>
          <w:tcPr>
            <w:tcW w:type="dxa" w:w="2467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공고문 성과지표·평가항목 대응</w:t>
            </w:r>
          </w:p>
        </w:tc>
        <w:tc>
          <w:tcPr>
            <w:tcW w:type="dxa" w:w="2467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2건</w:t>
            </w:r>
          </w:p>
        </w:tc>
      </w:tr>
    </w:tbl>
    <w:p>
      <w:pPr>
        <w:keepNext/>
        <w:spacing w:after="160"/>
      </w:pPr>
    </w:p>
    <w:p>
      <w:pPr>
        <w:pStyle w:val="Heading2"/>
        <w:keepNext/>
      </w:pPr>
      <w:r>
        <w:rPr>
          <w:rFonts w:ascii="맑은 고딕" w:hAnsi="맑은 고딕"/>
          <w:b/>
          <w:color w:val="00467F"/>
          <w:sz w:val="25"/>
          <w:rFonts w:eastAsia="맑은 고딕"/>
        </w:rPr>
        <w:t>1.4 판정 기준 (반영 결과 구분)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0"/>
        <w:gridCol w:w="3290"/>
        <w:gridCol w:w="3290"/>
      </w:tblGrid>
      <w:tr>
        <w:trPr>
          <w:cantSplit/>
        </w:trPr>
        <w:tc>
          <w:tcPr>
            <w:tcW w:type="dxa" w:w="1361"/>
            <w:shd w:val="clear" w:color="auto" w:fill="00467F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판정</w:t>
            </w:r>
          </w:p>
        </w:tc>
        <w:tc>
          <w:tcPr>
            <w:tcW w:type="dxa" w:w="3515"/>
            <w:shd w:val="clear" w:color="auto" w:fill="00467F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정의</w:t>
            </w:r>
          </w:p>
        </w:tc>
        <w:tc>
          <w:tcPr>
            <w:tcW w:type="dxa" w:w="3628"/>
            <w:shd w:val="clear" w:color="auto" w:fill="00467F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적용 원칙</w:t>
            </w:r>
          </w:p>
        </w:tc>
      </w:tr>
      <w:tr>
        <w:trPr>
          <w:cantSplit/>
        </w:trPr>
        <w:tc>
          <w:tcPr>
            <w:tcW w:type="dxa" w:w="3290"/>
            <w:shd w:val="clear" w:color="auto" w:fill="F1F8F4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충족</w:t>
            </w:r>
          </w:p>
        </w:tc>
        <w:tc>
          <w:tcPr>
            <w:tcW w:type="dxa" w:w="3290"/>
            <w:shd w:val="clear" w:color="auto" w:fill="F1F8F4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요구사항이 의도대로 구현되고 검증까지 완료됨</w:t>
            </w:r>
          </w:p>
        </w:tc>
        <w:tc>
          <w:tcPr>
            <w:tcW w:type="dxa" w:w="3290"/>
            <w:shd w:val="clear" w:color="auto" w:fill="F1F8F4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검증근거(코드·DB·리뷰·프리뷰) 중 1개 이상 명시 필수</w:t>
            </w:r>
          </w:p>
        </w:tc>
      </w:tr>
      <w:tr>
        <w:trPr>
          <w:cantSplit/>
        </w:trPr>
        <w:tc>
          <w:tcPr>
            <w:tcW w:type="dxa" w:w="3290"/>
            <w:shd w:val="clear" w:color="auto" w:fill="FDF6EC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부분충족</w:t>
            </w:r>
          </w:p>
        </w:tc>
        <w:tc>
          <w:tcPr>
            <w:tcW w:type="dxa" w:w="3290"/>
            <w:shd w:val="clear" w:color="auto" w:fill="FDF6EC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주된 요구는 반영되었으나 잔여 항목이 남아 있음</w:t>
            </w:r>
          </w:p>
        </w:tc>
        <w:tc>
          <w:tcPr>
            <w:tcW w:type="dxa" w:w="3290"/>
            <w:shd w:val="clear" w:color="auto" w:fill="FDF6EC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잔여 항목과 후속 관리번호를 반드시 병기</w:t>
            </w:r>
          </w:p>
        </w:tc>
      </w:tr>
      <w:tr>
        <w:trPr>
          <w:cantSplit/>
        </w:trPr>
        <w:tc>
          <w:tcPr>
            <w:tcW w:type="dxa" w:w="3290"/>
            <w:shd w:val="clear" w:color="auto" w:fill="FDF6EC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대안반영</w:t>
            </w:r>
          </w:p>
        </w:tc>
        <w:tc>
          <w:tcPr>
            <w:tcW w:type="dxa" w:w="3290"/>
            <w:shd w:val="clear" w:color="auto" w:fill="FDF6EC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원 요구를 그대로 반영하지 않고 다른 수단으로 목적을 달성함</w:t>
            </w:r>
          </w:p>
        </w:tc>
        <w:tc>
          <w:tcPr>
            <w:tcW w:type="dxa" w:w="3290"/>
            <w:shd w:val="clear" w:color="auto" w:fill="FDF6EC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원안을 채택하지 않은 사유를 근거와 함께 기술</w:t>
            </w:r>
          </w:p>
        </w:tc>
      </w:tr>
      <w:tr>
        <w:trPr>
          <w:cantSplit/>
        </w:trPr>
        <w:tc>
          <w:tcPr>
            <w:tcW w:type="dxa" w:w="3290"/>
            <w:shd w:val="clear" w:color="auto" w:fill="F7F7F7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미반영</w:t>
            </w:r>
          </w:p>
        </w:tc>
        <w:tc>
          <w:tcPr>
            <w:tcW w:type="dxa" w:w="3290"/>
            <w:shd w:val="clear" w:color="auto" w:fill="F7F7F7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반영하지 않음</w:t>
            </w:r>
          </w:p>
        </w:tc>
        <w:tc>
          <w:tcPr>
            <w:tcW w:type="dxa" w:w="3290"/>
            <w:shd w:val="clear" w:color="auto" w:fill="F7F7F7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사유·대안·재검토 시점을 명시 (본 과업 해당 없음)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/>
          <w:b w:val="0"/>
          <w:color w:val="6E6E6E"/>
          <w:sz w:val="18"/>
          <w:rFonts w:eastAsia="맑은 고딕"/>
        </w:rPr>
        <w:t>※ 본 산출물은 「검증하지 못한 항목」을 충족으로 표기하지 않는다. 검증 수단이 없는 항목은 검증방법 칸에 그 사실을 그대로 기재한다.</w:t>
      </w:r>
    </w:p>
    <w:p>
      <w:pPr>
        <w:pStyle w:val="Heading1"/>
        <w:pageBreakBefore/>
      </w:pPr>
      <w:r>
        <w:rPr>
          <w:rFonts w:ascii="맑은 고딕" w:hAnsi="맑은 고딕"/>
          <w:b/>
          <w:color w:val="00467F"/>
          <w:sz w:val="30"/>
          <w:rFonts w:eastAsia="맑은 고딕"/>
        </w:rPr>
        <w:t>2. 요구사항 분석표</w:t>
      </w:r>
    </w:p>
    <w:p>
      <w:pPr>
        <w:spacing w:after="120"/>
      </w:pPr>
      <w:r>
        <w:rPr>
          <w:rFonts w:ascii="맑은 고딕" w:hAnsi="맑은 고딕"/>
          <w:b w:val="0"/>
          <w:sz w:val="20"/>
          <w:rFonts w:eastAsia="맑은 고딕"/>
        </w:rPr>
        <w:t>요구사항을 4개 구분(기능 / 보안·권한 / 비기능 / 과제요건)으로 분류하고, 우선순위(H:필수, M:권장)와 상위 요구사항(01_요구사항정의서) 추적관계를 부여한다.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5"/>
        <w:gridCol w:w="1645"/>
        <w:gridCol w:w="1645"/>
        <w:gridCol w:w="1645"/>
        <w:gridCol w:w="1645"/>
        <w:gridCol w:w="1645"/>
      </w:tblGrid>
      <w:tr>
        <w:trPr>
          <w:tblHeader w:val="true"/>
          <w:cantSplit/>
        </w:trPr>
        <w:tc>
          <w:tcPr>
            <w:tcW w:type="dxa" w:w="1440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ID</w:t>
            </w:r>
          </w:p>
        </w:tc>
        <w:tc>
          <w:tcPr>
            <w:tcW w:type="dxa" w:w="1701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요구사항명</w:t>
            </w:r>
          </w:p>
        </w:tc>
        <w:tc>
          <w:tcPr>
            <w:tcW w:type="dxa" w:w="3379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상세 내용</w:t>
            </w:r>
          </w:p>
        </w:tc>
        <w:tc>
          <w:tcPr>
            <w:tcW w:type="dxa" w:w="680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중요도</w:t>
            </w:r>
          </w:p>
        </w:tc>
        <w:tc>
          <w:tcPr>
            <w:tcW w:type="dxa" w:w="567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출처</w:t>
            </w:r>
          </w:p>
        </w:tc>
        <w:tc>
          <w:tcPr>
            <w:tcW w:type="dxa" w:w="1020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상위요구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DDE9F2"/>
            <w:shd w:val="clear" w:color="auto" w:fill="DDE9F2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— 기능 요구사항 (Functional) —</w:t>
            </w:r>
          </w:p>
        </w:tc>
        <w:tc>
          <w:tcPr>
            <w:tcW w:type="dxa" w:w="1645"/>
            <w:shd w:val="clear" w:color="auto" w:fill="DDE9F2"/>
            <w:shd w:val="clear" w:color="auto" w:fill="DDE9F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282"/>
            <w:shd w:val="clear" w:color="auto" w:fill="DDE9F2"/>
            <w:shd w:val="clear" w:color="auto" w:fill="DDE9F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  <w:shd w:val="clear" w:color="auto" w:fill="DDE9F2"/>
            <w:shd w:val="clear" w:color="auto" w:fill="DDE9F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  <w:shd w:val="clear" w:color="auto" w:fill="DDE9F2"/>
            <w:shd w:val="clear" w:color="auto" w:fill="DDE9F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  <w:shd w:val="clear" w:color="auto" w:fill="DDE9F2"/>
            <w:shd w:val="clear" w:color="auto" w:fill="DDE9F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BO-FR-01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관리자 포털의 통합 콘솔화</w:t>
            </w:r>
          </w:p>
        </w:tc>
        <w:tc>
          <w:tcPr>
            <w:tcW w:type="dxa" w:w="128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관리자 포털이 모든 계층 화면의 상위집합이 되어, 타 계층 전용 화면도 관리자 계정으로 열람 가능해야 한다.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H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S1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FR-24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BO-FR-02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역할별 현황 통합 대시보드</w:t>
            </w:r>
          </w:p>
        </w:tc>
        <w:tc>
          <w:tcPr>
            <w:tcW w:type="dxa" w:w="128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로그인 직후 화면에서 환자·코디·파트너·병원·시스템의 당일 현황을 실데이터 집계로 확인할 수 있어야 한다.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H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S1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FR-24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BO-FR-03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전 계층 활동 통합 피드</w:t>
            </w:r>
          </w:p>
        </w:tc>
        <w:tc>
          <w:tcPr>
            <w:tcW w:type="dxa" w:w="128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계층 구분 없이 발생한 변경사항(문의·상담·의뢰·리드·문구수정)을 시간순 단일 타임라인으로 확인할 수 있어야 한다.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H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S1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FR-24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BO-FR-04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코디네이터 전용 화면의 관리자 접근</w:t>
            </w:r>
          </w:p>
        </w:tc>
        <w:tc>
          <w:tcPr>
            <w:tcW w:type="dxa" w:w="128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견적·비자·증상알림·문구편집 4개 화면이 관리자 메뉴에서 접근 가능해야 한다(중복 화면 신설 없이).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H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S2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FR-22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BO-FR-05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메뉴 정보구조 재편</w:t>
            </w:r>
          </w:p>
        </w:tc>
        <w:tc>
          <w:tcPr>
            <w:tcW w:type="dxa" w:w="128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관리자 메뉴를 6개 그룹으로 재편하고, 메뉴 배열 순서가 환자 여정 순서와 일치해야 한다.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H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S1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FR-24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BO-FR-06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미사용 화면 비활성</w:t>
            </w:r>
          </w:p>
        </w:tc>
        <w:tc>
          <w:tcPr>
            <w:tcW w:type="dxa" w:w="128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운영DB 실측상 데이터가 없는 기능 화면을 메뉴에서 제외하여 상용 화면의 탐색성을 확보해야 한다.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M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S3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FR-24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BO-FR-07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현황 카드의 화면 연결</w:t>
            </w:r>
          </w:p>
        </w:tc>
        <w:tc>
          <w:tcPr>
            <w:tcW w:type="dxa" w:w="128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대시보드 현황 카드 선택 시 해당 업무 화면으로 즉시 이동할 수 있어야 한다.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M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S1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FR-24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BO-FR-08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파트너 3계층 own 스코프 유지</w:t>
            </w:r>
          </w:p>
        </w:tc>
        <w:tc>
          <w:tcPr>
            <w:tcW w:type="dxa" w:w="128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국내의료기관·해외에이전시·해외의료기관은 공용 데이터에 대해 본인 소관 범위만 조회·처리해야 한다.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H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S4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FR-23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DDE9F2"/>
            <w:shd w:val="clear" w:color="auto" w:fill="DDE9F2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— 보안·권한 요구사항 (Security) —</w:t>
            </w:r>
          </w:p>
        </w:tc>
        <w:tc>
          <w:tcPr>
            <w:tcW w:type="dxa" w:w="1645"/>
            <w:shd w:val="clear" w:color="auto" w:fill="DDE9F2"/>
            <w:shd w:val="clear" w:color="auto" w:fill="DDE9F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282"/>
            <w:shd w:val="clear" w:color="auto" w:fill="DDE9F2"/>
            <w:shd w:val="clear" w:color="auto" w:fill="DDE9F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  <w:shd w:val="clear" w:color="auto" w:fill="DDE9F2"/>
            <w:shd w:val="clear" w:color="auto" w:fill="DDE9F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  <w:shd w:val="clear" w:color="auto" w:fill="DDE9F2"/>
            <w:shd w:val="clear" w:color="auto" w:fill="DDE9F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  <w:shd w:val="clear" w:color="auto" w:fill="DDE9F2"/>
            <w:shd w:val="clear" w:color="auto" w:fill="DDE9F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BO-SR-01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스태프 도메인 권한 일관성</w:t>
            </w:r>
          </w:p>
        </w:tc>
        <w:tc>
          <w:tcPr>
            <w:tcW w:type="dxa" w:w="128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동일 환자 여정에 속한 도메인(협진의뢰·리드)의 접근 권한이 계층 간 일관된 기준으로 부여되어야 한다.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H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S2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FR-02 / NFR-08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BO-SR-02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콘텐츠 쓰기 API의 표준 가드 적용</w:t>
            </w:r>
          </w:p>
        </w:tc>
        <w:tc>
          <w:tcPr>
            <w:tcW w:type="dxa" w:w="128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콘텐츠 오버라이드 쓰기 경로에 표준 인증 헬퍼와 요청량 제한(rate limit)이 적용되어야 한다.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H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S2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NFR-07 / NFR-09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BO-SR-03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상담 초대토큰 발급 통제</w:t>
            </w:r>
          </w:p>
        </w:tc>
        <w:tc>
          <w:tcPr>
            <w:tcW w:type="dxa" w:w="128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담당자가 아닌 스태프의 게스트 초대토큰 발급에 대한 통제 수단이 있어야 한다.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H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S2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FR-03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BO-SR-04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파트너 유형 분기 게이트</w:t>
            </w:r>
          </w:p>
        </w:tc>
        <w:tc>
          <w:tcPr>
            <w:tcW w:type="dxa" w:w="128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해외에이전시와 해외의료기관을 구분해야 하는 기능에서 유형 검증이 누락되지 않는 구조여야 한다.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H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S2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FR-02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BO-SR-05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대시보드 API의 개인정보 미반환</w:t>
            </w:r>
          </w:p>
        </w:tc>
        <w:tc>
          <w:tcPr>
            <w:tcW w:type="dxa" w:w="128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통합 대시보드 집계 API는 환자 개인정보(PII)를 응답에 포함하지 않아야 한다.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H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S4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NFR-05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BO-SR-06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계정 비활성 킬스위치 전 계층 정합</w:t>
            </w:r>
          </w:p>
        </w:tc>
        <w:tc>
          <w:tcPr>
            <w:tcW w:type="dxa" w:w="128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계정 비활성 처리 시 계층과 무관하게 전 포털에서 즉시 차단되어야 한다.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H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S2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FR-02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DDE9F2"/>
            <w:shd w:val="clear" w:color="auto" w:fill="DDE9F2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— 비기능 요구사항 (Non-Functional) —</w:t>
            </w:r>
          </w:p>
        </w:tc>
        <w:tc>
          <w:tcPr>
            <w:tcW w:type="dxa" w:w="1645"/>
            <w:shd w:val="clear" w:color="auto" w:fill="DDE9F2"/>
            <w:shd w:val="clear" w:color="auto" w:fill="DDE9F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282"/>
            <w:shd w:val="clear" w:color="auto" w:fill="DDE9F2"/>
            <w:shd w:val="clear" w:color="auto" w:fill="DDE9F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  <w:shd w:val="clear" w:color="auto" w:fill="DDE9F2"/>
            <w:shd w:val="clear" w:color="auto" w:fill="DDE9F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  <w:shd w:val="clear" w:color="auto" w:fill="DDE9F2"/>
            <w:shd w:val="clear" w:color="auto" w:fill="DDE9F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  <w:shd w:val="clear" w:color="auto" w:fill="DDE9F2"/>
            <w:shd w:val="clear" w:color="auto" w:fill="DDE9F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BO-NFR-01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화면 재사용 표준화</w:t>
            </w:r>
          </w:p>
        </w:tc>
        <w:tc>
          <w:tcPr>
            <w:tcW w:type="dxa" w:w="128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계층 간 동일 기능은 화면을 복제하지 않고 재사용(re-export)하여 화면이 서로 어긋나는 것을 구조적으로 차단해야 한다.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H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S2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NFR-17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BO-NFR-02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신규 테이블 미생성</w:t>
            </w:r>
          </w:p>
        </w:tc>
        <w:tc>
          <w:tcPr>
            <w:tcW w:type="dxa" w:w="128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재설계 과정에서 신규 테이블을 만들지 않고 기존 도메인 테이블 집계만으로 구현해야 한다(운영 부담·비용 억제).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M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S1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NFR-11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BO-NFR-03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비활성 처리의 가역성</w:t>
            </w:r>
          </w:p>
        </w:tc>
        <w:tc>
          <w:tcPr>
            <w:tcW w:type="dxa" w:w="128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미사용 화면은 삭제가 아닌 플래그 처리로 비활성하여, 플래그 해제만으로 원복 가능해야 한다.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H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S1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NFR-12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BO-NFR-04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화면과 사용설명서의 동시 갱신</w:t>
            </w:r>
          </w:p>
        </w:tc>
        <w:tc>
          <w:tcPr>
            <w:tcW w:type="dxa" w:w="128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백오피스 기능 변경 시 계층별 사용설명서를 동일 형상단위(PR)에서 갱신해야 한다.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M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S1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NFR-20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BO-NFR-05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판정 근거의 실측 원칙</w:t>
            </w:r>
          </w:p>
        </w:tc>
        <w:tc>
          <w:tcPr>
            <w:tcW w:type="dxa" w:w="128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화면·기능의 존폐 판정은 추정이 아니라 소스코드 및 운영DB 실측 결과에 근거해야 한다.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H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S3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NFR-18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BO-NFR-06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단계별 독립 배포</w:t>
            </w:r>
          </w:p>
        </w:tc>
        <w:tc>
          <w:tcPr>
            <w:tcW w:type="dxa" w:w="128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각 구현 단계는 독립 형상단위로 분리 배포하여 단계별 검증·원복이 가능해야 한다.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H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S1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NFR-11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DDE9F2"/>
            <w:shd w:val="clear" w:color="auto" w:fill="DDE9F2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— 과제 요건 (KHIDI) —</w:t>
            </w:r>
          </w:p>
        </w:tc>
        <w:tc>
          <w:tcPr>
            <w:tcW w:type="dxa" w:w="1645"/>
            <w:shd w:val="clear" w:color="auto" w:fill="DDE9F2"/>
            <w:shd w:val="clear" w:color="auto" w:fill="DDE9F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282"/>
            <w:shd w:val="clear" w:color="auto" w:fill="DDE9F2"/>
            <w:shd w:val="clear" w:color="auto" w:fill="DDE9F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  <w:shd w:val="clear" w:color="auto" w:fill="DDE9F2"/>
            <w:shd w:val="clear" w:color="auto" w:fill="DDE9F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  <w:shd w:val="clear" w:color="auto" w:fill="DDE9F2"/>
            <w:shd w:val="clear" w:color="auto" w:fill="DDE9F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  <w:shd w:val="clear" w:color="auto" w:fill="DDE9F2"/>
            <w:shd w:val="clear" w:color="auto" w:fill="DDE9F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BO-KR-01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ICT 기반 관리체계 구축 증빙</w:t>
            </w:r>
          </w:p>
        </w:tc>
        <w:tc>
          <w:tcPr>
            <w:tcW w:type="dxa" w:w="128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재설계 결과가 공고 정성지표「ICT 기반 외국인환자 관리 체계 구축」의 증빙자료로 사용 가능해야 한다.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H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S5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NFR-23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BO-KR-02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성과지표 자동 집계 연결</w:t>
            </w:r>
          </w:p>
        </w:tc>
        <w:tc>
          <w:tcPr>
            <w:tcW w:type="dxa" w:w="1282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통합 대시보드에서 공식 성과지표(유치·상담·사후관리·만족도) 집계 화면으로 연결되어야 한다.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H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S5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NFR-23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/>
          <w:b w:val="0"/>
          <w:color w:val="6E6E6E"/>
          <w:sz w:val="18"/>
          <w:rFonts w:eastAsia="맑은 고딕"/>
        </w:rPr>
        <w:t>중요도 H=필수(미반영 시 과업 목적 미달) / M=권장(운영 효율·유지보수 관점)</w:t>
      </w:r>
    </w:p>
    <w:p>
      <w:pPr>
        <w:pStyle w:val="Heading1"/>
        <w:pageBreakBefore/>
      </w:pPr>
      <w:r>
        <w:rPr>
          <w:rFonts w:ascii="맑은 고딕" w:hAnsi="맑은 고딕"/>
          <w:b/>
          <w:color w:val="00467F"/>
          <w:sz w:val="30"/>
          <w:rFonts w:eastAsia="맑은 고딕"/>
        </w:rPr>
        <w:t>3. 요구사항 반영 대비표</w:t>
      </w:r>
    </w:p>
    <w:p>
      <w:pPr>
        <w:spacing w:after="120"/>
      </w:pPr>
      <w:r>
        <w:rPr>
          <w:rFonts w:ascii="맑은 고딕" w:hAnsi="맑은 고딕"/>
          <w:b w:val="0"/>
          <w:sz w:val="20"/>
          <w:rFonts w:eastAsia="맑은 고딕"/>
        </w:rPr>
        <w:t>각 요구사항에 대하여 「요구 → 반영 방안 → 구현 산출물 → 검증 → 판정」을 1:1로 대비한다. 구현 산출물 칸의 경로는 실제 소스코드 위치이며, 형상 이력(PR 번호)으로 변경 시점을 추적할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4"/>
        <w:gridCol w:w="1974"/>
        <w:gridCol w:w="1974"/>
        <w:gridCol w:w="1974"/>
        <w:gridCol w:w="1974"/>
      </w:tblGrid>
      <w:tr>
        <w:trPr>
          <w:tblHeader w:val="true"/>
          <w:cantSplit/>
        </w:trPr>
        <w:tc>
          <w:tcPr>
            <w:tcW w:type="dxa" w:w="1440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ID</w:t>
            </w:r>
          </w:p>
        </w:tc>
        <w:tc>
          <w:tcPr>
            <w:tcW w:type="dxa" w:w="2812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반영 방안 (How)</w:t>
            </w:r>
          </w:p>
        </w:tc>
        <w:tc>
          <w:tcPr>
            <w:tcW w:type="dxa" w:w="2041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구현 산출물 / 형상</w:t>
            </w:r>
          </w:p>
        </w:tc>
        <w:tc>
          <w:tcPr>
            <w:tcW w:type="dxa" w:w="1644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검증 방법</w:t>
            </w:r>
          </w:p>
        </w:tc>
        <w:tc>
          <w:tcPr>
            <w:tcW w:type="dxa" w:w="850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판정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6"/>
                <w:rFonts w:eastAsia="맑은 고딕"/>
              </w:rPr>
              <w:t>BO-FR-01</w:t>
            </w:r>
          </w:p>
        </w:tc>
        <w:tc>
          <w:tcPr>
            <w:tcW w:type="dxa" w:w="1611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관리자 = 상위집합 원칙을 재설계 표준으로 확정하고, 타 계층 전용 화면을 관리자 메뉴에 연결. 스태프 게이트가 관리자 계정을 통과시키므로 화면 신설 없이 링크 연결만으로 달성.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app/admin/_components/AdminNav.jsx / 5단계(PR #966)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코드 실측: 메뉴 정의부에 코디 경로 4건 등재 확인</w:t>
            </w:r>
          </w:p>
        </w:tc>
        <w:tc>
          <w:tcPr>
            <w:tcW w:type="dxa" w:w="1974"/>
            <w:shd w:val="clear" w:color="auto" w:fill="F1F8F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6"/>
                <w:rFonts w:eastAsia="맑은 고딕"/>
              </w:rPr>
              <w:t>충족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6"/>
                <w:rFonts w:eastAsia="맑은 고딕"/>
              </w:rPr>
              <w:t>BO-FR-02</w:t>
            </w:r>
          </w:p>
        </w:tc>
        <w:tc>
          <w:tcPr>
            <w:tcW w:type="dxa" w:w="1611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관리자 홈을 통합 대시보드로 신설. 환자·코디·에이전시/클리닉·병원·시스템 5개 축의 당일 현황 카드를 실데이터로 집계.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app/admin (홈) · /api/admin/dashboard/overview / 3단계(PR #955)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PO 프리뷰 확인 후 머지 · 배포 완료</w:t>
            </w:r>
          </w:p>
        </w:tc>
        <w:tc>
          <w:tcPr>
            <w:tcW w:type="dxa" w:w="1974"/>
            <w:shd w:val="clear" w:color="auto" w:fill="F1F8F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6"/>
                <w:rFonts w:eastAsia="맑은 고딕"/>
              </w:rPr>
              <w:t>충족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6"/>
                <w:rFonts w:eastAsia="맑은 고딕"/>
              </w:rPr>
              <w:t>BO-FR-03</w:t>
            </w:r>
          </w:p>
        </w:tc>
        <w:tc>
          <w:tcPr>
            <w:tcW w:type="dxa" w:w="1611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전 계층 활동을 단일 타임라인으로 노출. 소스를 감사로그가 아닌 도메인 테이블 5종으로 직접 구성하여 항목 명칭이 업무 용어로 표기되도록 함.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content_change_log · inquiries · consultation_sessions · cotreatment_referrals · hospital_leads / 3단계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PO 프리뷰 확인 후 머지 · 배포 완료</w:t>
            </w:r>
          </w:p>
        </w:tc>
        <w:tc>
          <w:tcPr>
            <w:tcW w:type="dxa" w:w="1974"/>
            <w:shd w:val="clear" w:color="auto" w:fill="F1F8F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6"/>
                <w:rFonts w:eastAsia="맑은 고딕"/>
              </w:rPr>
              <w:t>충족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6"/>
                <w:rFonts w:eastAsia="맑은 고딕"/>
              </w:rPr>
              <w:t>BO-FR-04</w:t>
            </w:r>
          </w:p>
        </w:tc>
        <w:tc>
          <w:tcPr>
            <w:tcW w:type="dxa" w:w="1611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견적·비자·증상알림·문구편집 4개 화면을 관리자 메뉴 「상담·문의」 및 「콘텐츠」 그룹에 연결. 중복 화면을 만들지 않아 유지보수 지점을 늘리지 않음.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AdminNav.jsx (cost-estimates·visa·symptom-alerts·content-editor) / 5단계(PR #966)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코드 실측: 4개 항목 메뉴 등재 확인</w:t>
            </w:r>
          </w:p>
        </w:tc>
        <w:tc>
          <w:tcPr>
            <w:tcW w:type="dxa" w:w="1974"/>
            <w:shd w:val="clear" w:color="auto" w:fill="F1F8F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6"/>
                <w:rFonts w:eastAsia="맑은 고딕"/>
              </w:rPr>
              <w:t>충족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6"/>
                <w:rFonts w:eastAsia="맑은 고딕"/>
              </w:rPr>
              <w:t>BO-FR-05</w:t>
            </w:r>
          </w:p>
        </w:tc>
        <w:tc>
          <w:tcPr>
            <w:tcW w:type="dxa" w:w="1611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관리자 메뉴를 홈 / 상담·문의 / 파트너·회원 / 콘텐츠 / AI품질(기본 접힘) / 시스템 6그룹으로 재편. 「상담·문의」 그룹 내부는 리드→문의→케이스→상담→의뢰→후속 순으로 환자 여정과 일치시킴.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AdminNav.jsx (그룹 정의) / 2단계(PR #945)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PO 프리뷰 확인 후 머지 · 배포 완료</w:t>
            </w:r>
          </w:p>
        </w:tc>
        <w:tc>
          <w:tcPr>
            <w:tcW w:type="dxa" w:w="1974"/>
            <w:shd w:val="clear" w:color="auto" w:fill="F1F8F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6"/>
                <w:rFonts w:eastAsia="맑은 고딕"/>
              </w:rPr>
              <w:t>충족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6"/>
                <w:rFonts w:eastAsia="맑은 고딕"/>
              </w:rPr>
              <w:t>BO-FR-06</w:t>
            </w:r>
          </w:p>
        </w:tc>
        <w:tc>
          <w:tcPr>
            <w:tcW w:type="dxa" w:w="1611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운영DB 0행으로 실측된 화면 10개를 메뉴에서 비활성(플래그). 다만 판정이 애매한 2개 화면은 영향도가 확인될 때까지 메뉴에 유지.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AdminNav.jsx hidden 플래그 (Import·보강·관측·크롤3·플레이북4) / 2단계(PR #945)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운영DB 정확 COUNT (2026-07-25 재확인, 전부 0행 유지)</w:t>
            </w:r>
          </w:p>
        </w:tc>
        <w:tc>
          <w:tcPr>
            <w:tcW w:type="dxa" w:w="1974"/>
            <w:shd w:val="clear" w:color="auto" w:fill="FDF6E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6"/>
                <w:rFonts w:eastAsia="맑은 고딕"/>
              </w:rPr>
              <w:t>부분충족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6"/>
                <w:rFonts w:eastAsia="맑은 고딕"/>
              </w:rPr>
              <w:t>BO-FR-07</w:t>
            </w:r>
          </w:p>
        </w:tc>
        <w:tc>
          <w:tcPr>
            <w:tcW w:type="dxa" w:w="1611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현황 카드 전체에 대응 업무 화면 링크를 부여.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관리자 홈 대시보드 카드 / 3단계(PR #955)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PO 프리뷰 확인</w:t>
            </w:r>
          </w:p>
        </w:tc>
        <w:tc>
          <w:tcPr>
            <w:tcW w:type="dxa" w:w="1974"/>
            <w:shd w:val="clear" w:color="auto" w:fill="F1F8F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6"/>
                <w:rFonts w:eastAsia="맑은 고딕"/>
              </w:rPr>
              <w:t>충족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6"/>
                <w:rFonts w:eastAsia="맑은 고딕"/>
              </w:rPr>
              <w:t>BO-FR-08</w:t>
            </w:r>
          </w:p>
        </w:tc>
        <w:tc>
          <w:tcPr>
            <w:tcW w:type="dxa" w:w="1611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파트너 3계층은 공용 테이블을 유지하되 API 게이트에서만 범위를 분리하는 구조로 표준화(계층별 사본 테이블 금지). 유형 분기 누락 위험은 BO-SR-04로 보강.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checkHospitalAuth · checkAgencyAuth / 기존 구조 유지 + 4단계 보강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코드 실측: 계층별 인증 헬퍼 및 스코프 분기 확인</w:t>
            </w:r>
          </w:p>
        </w:tc>
        <w:tc>
          <w:tcPr>
            <w:tcW w:type="dxa" w:w="1974"/>
            <w:shd w:val="clear" w:color="auto" w:fill="F1F8F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6"/>
                <w:rFonts w:eastAsia="맑은 고딕"/>
              </w:rPr>
              <w:t>충족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6"/>
                <w:rFonts w:eastAsia="맑은 고딕"/>
              </w:rPr>
              <w:t>BO-SR-01</w:t>
            </w:r>
          </w:p>
        </w:tc>
        <w:tc>
          <w:tcPr>
            <w:tcW w:type="dxa" w:w="1611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협진의뢰·리드 API의 접근 기준을 관리자 전용에서 스태프(관리자+코디네이터) 공통 기준으로 통일하여 동일 여정 내 권한 경계 불일치를 제거.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app/api/admin/leads/* · khidi/referrals: requirePortalAuth({ staffOnly }) / 4단계(PR #962)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독립 보안 리뷰 CONFIRMED 0건 + 코드 실측(2026-07-25 재확인)</w:t>
            </w:r>
          </w:p>
        </w:tc>
        <w:tc>
          <w:tcPr>
            <w:tcW w:type="dxa" w:w="1974"/>
            <w:shd w:val="clear" w:color="auto" w:fill="F1F8F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6"/>
                <w:rFonts w:eastAsia="맑은 고딕"/>
              </w:rPr>
              <w:t>충족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6"/>
                <w:rFonts w:eastAsia="맑은 고딕"/>
              </w:rPr>
              <w:t>BO-SR-02</w:t>
            </w:r>
          </w:p>
        </w:tc>
        <w:tc>
          <w:tcPr>
            <w:tcW w:type="dxa" w:w="1611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콘텐츠 오버라이드 쓰기 API를 커스텀 가드에서 표준 인증 헬퍼로 교체하고 요청량 제한을 적용.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콘텐츠 편집 API / 4단계(PR #962)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독립 보안 리뷰 CONFIRMED 0건</w:t>
            </w:r>
          </w:p>
        </w:tc>
        <w:tc>
          <w:tcPr>
            <w:tcW w:type="dxa" w:w="1974"/>
            <w:shd w:val="clear" w:color="auto" w:fill="F1F8F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6"/>
                <w:rFonts w:eastAsia="맑은 고딕"/>
              </w:rPr>
              <w:t>충족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6"/>
                <w:rFonts w:eastAsia="맑은 고딕"/>
              </w:rPr>
              <w:t>BO-SR-03</w:t>
            </w:r>
          </w:p>
        </w:tc>
        <w:tc>
          <w:tcPr>
            <w:tcW w:type="dxa" w:w="1611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발급 권한 자체를 축소하지 않고, 발급 행위를 감사로그로 기록하여 추적성을 확보하는 방식으로 대응. 권한 축소안은 과거 적용 시 담당자 미지정 상담에서 정상 업무가 차단된 이력이 있어 미채택.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감사로그 CREATE_CONSULTATION_INVITE / 5단계(PR #966)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독립 리뷰 지적 1건(로그 항목 미등재) 수정 후 반영</w:t>
            </w:r>
          </w:p>
        </w:tc>
        <w:tc>
          <w:tcPr>
            <w:tcW w:type="dxa" w:w="1974"/>
            <w:shd w:val="clear" w:color="auto" w:fill="FDF6EC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6"/>
                <w:rFonts w:eastAsia="맑은 고딕"/>
              </w:rPr>
              <w:t>대안반영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6"/>
                <w:rFonts w:eastAsia="맑은 고딕"/>
              </w:rPr>
              <w:t>BO-SR-04</w:t>
            </w:r>
          </w:p>
        </w:tc>
        <w:tc>
          <w:tcPr>
            <w:tcW w:type="dxa" w:w="1611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파트너 유형(에이전시/의료기관) 검증을 개별 기능에 흩어 두지 않고 공통 게이트 헬퍼로 분리하여, 유형 한정 기능 추가 시 검증 누락이 발생하지 않도록 구조화.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src/lib/auth/checkAgencyAuth.ts: requirePartnerType() / 4단계(PR #962)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코드 실측: 헬퍼 존재 및 호출부 확인(2026-07-25)</w:t>
            </w:r>
          </w:p>
        </w:tc>
        <w:tc>
          <w:tcPr>
            <w:tcW w:type="dxa" w:w="1974"/>
            <w:shd w:val="clear" w:color="auto" w:fill="F1F8F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6"/>
                <w:rFonts w:eastAsia="맑은 고딕"/>
              </w:rPr>
              <w:t>충족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6"/>
                <w:rFonts w:eastAsia="맑은 고딕"/>
              </w:rPr>
              <w:t>BO-SR-05</w:t>
            </w:r>
          </w:p>
        </w:tc>
        <w:tc>
          <w:tcPr>
            <w:tcW w:type="dxa" w:w="1611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집계 API 응답을 건수·상태·키 값으로 한정하여 개인정보가 응답에 포함되지 않도록 설계.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/api/admin/dashboard/overview (requireAdminAuth) / 3단계(PR #955)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코드 실측: 응답 필드 구성 확인</w:t>
            </w:r>
          </w:p>
        </w:tc>
        <w:tc>
          <w:tcPr>
            <w:tcW w:type="dxa" w:w="1974"/>
            <w:shd w:val="clear" w:color="auto" w:fill="F1F8F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6"/>
                <w:rFonts w:eastAsia="맑은 고딕"/>
              </w:rPr>
              <w:t>충족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6"/>
                <w:rFonts w:eastAsia="맑은 고딕"/>
              </w:rPr>
              <w:t>BO-SR-06</w:t>
            </w:r>
          </w:p>
        </w:tc>
        <w:tc>
          <w:tcPr>
            <w:tcW w:type="dxa" w:w="1611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계층별 활성 플래그를 1차 방어로 유지하되, 계정 비활성 값이 어느 계층에 부여되든 전 포털에서 차단되는 이중 구조를 유지·확인.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checkHospitalAuth · checkAgencyAuth (기존 구조, 2026-07-07 적용분)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코드 실측: 재설계 후에도 정합 유지 확인</w:t>
            </w:r>
          </w:p>
        </w:tc>
        <w:tc>
          <w:tcPr>
            <w:tcW w:type="dxa" w:w="1974"/>
            <w:shd w:val="clear" w:color="auto" w:fill="F1F8F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6"/>
                <w:rFonts w:eastAsia="맑은 고딕"/>
              </w:rPr>
              <w:t>충족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6"/>
                <w:rFonts w:eastAsia="맑은 고딕"/>
              </w:rPr>
              <w:t>BO-NFR-01</w:t>
            </w:r>
          </w:p>
        </w:tc>
        <w:tc>
          <w:tcPr>
            <w:tcW w:type="dxa" w:w="1611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계층 간 동일 기능은 관리자 화면을 직접 재사용하는 방식을 표준으로 승격하고, 화면 별도 구현 방식은 신규 적용을 금지.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케이스·유치전환·만족도 화면 재사용 구조 / 1단계 표준 확정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코드 실측: 재사용 3형태 분류 및 표준 지정</w:t>
            </w:r>
          </w:p>
        </w:tc>
        <w:tc>
          <w:tcPr>
            <w:tcW w:type="dxa" w:w="1974"/>
            <w:shd w:val="clear" w:color="auto" w:fill="F1F8F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6"/>
                <w:rFonts w:eastAsia="맑은 고딕"/>
              </w:rPr>
              <w:t>충족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6"/>
                <w:rFonts w:eastAsia="맑은 고딕"/>
              </w:rPr>
              <w:t>BO-NFR-02</w:t>
            </w:r>
          </w:p>
        </w:tc>
        <w:tc>
          <w:tcPr>
            <w:tcW w:type="dxa" w:w="1611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대시보드·피드를 기존 도메인 테이블 집계만으로 구현하여 신규 테이블을 생성하지 않음.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3단계(PR #955): 신규 테이블 0개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스키마 실측: 신규 테이블 없음 확인</w:t>
            </w:r>
          </w:p>
        </w:tc>
        <w:tc>
          <w:tcPr>
            <w:tcW w:type="dxa" w:w="1974"/>
            <w:shd w:val="clear" w:color="auto" w:fill="F1F8F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6"/>
                <w:rFonts w:eastAsia="맑은 고딕"/>
              </w:rPr>
              <w:t>충족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6"/>
                <w:rFonts w:eastAsia="맑은 고딕"/>
              </w:rPr>
              <w:t>BO-NFR-03</w:t>
            </w:r>
          </w:p>
        </w:tc>
        <w:tc>
          <w:tcPr>
            <w:tcW w:type="dxa" w:w="1611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미사용 화면을 삭제하지 않고 메뉴 노출 플래그로만 비활성. 라우트·소스는 보존되어 플래그 해제 시 즉시 원복.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AdminNav.jsx hidden:true / 2단계(PR #945)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코드 실측: 라우트 및 소스 보존 확인</w:t>
            </w:r>
          </w:p>
        </w:tc>
        <w:tc>
          <w:tcPr>
            <w:tcW w:type="dxa" w:w="1974"/>
            <w:shd w:val="clear" w:color="auto" w:fill="F1F8F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6"/>
                <w:rFonts w:eastAsia="맑은 고딕"/>
              </w:rPr>
              <w:t>충족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6"/>
                <w:rFonts w:eastAsia="맑은 고딕"/>
              </w:rPr>
              <w:t>BO-NFR-04</w:t>
            </w:r>
          </w:p>
        </w:tc>
        <w:tc>
          <w:tcPr>
            <w:tcW w:type="dxa" w:w="1611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관리자 사용설명서를 동일 형상단위에서 갱신. 파트너 설명서는 실측 결과 현행 기능과 내용이 일치하여 다국어 재작성에 따른 변동 위험을 피하고자 갱신 대상에서 제외.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src/lib/manuals/index.js (관리자 섹션, updated 2026-07-24) / 5단계(PR #966)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설명서-화면 대조 실측</w:t>
            </w:r>
          </w:p>
        </w:tc>
        <w:tc>
          <w:tcPr>
            <w:tcW w:type="dxa" w:w="1974"/>
            <w:shd w:val="clear" w:color="auto" w:fill="F1F8F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6"/>
                <w:rFonts w:eastAsia="맑은 고딕"/>
              </w:rPr>
              <w:t>충족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6"/>
                <w:rFonts w:eastAsia="맑은 고딕"/>
              </w:rPr>
              <w:t>BO-NFR-05</w:t>
            </w:r>
          </w:p>
        </w:tc>
        <w:tc>
          <w:tcPr>
            <w:tcW w:type="dxa" w:w="1611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전 계층 청사진 단계에서 소스코드 지도 3종과 운영DB 정확 COUNT를 먼저 확보한 뒤 존폐를 판정. 이 과정에서 「파트너 포털은 미구현」이라는 기존 인식이 사실과 다름을 확인하고 정정.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1단계 청사진 / 실측 결과는 docs/ADMIN_RENEWAL_PLAN.md §1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운영DB 정확 COUNT 2회(2026-07-24 / 07-25) + 코드 전수 확인</w:t>
            </w:r>
          </w:p>
        </w:tc>
        <w:tc>
          <w:tcPr>
            <w:tcW w:type="dxa" w:w="1974"/>
            <w:shd w:val="clear" w:color="auto" w:fill="F1F8F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6"/>
                <w:rFonts w:eastAsia="맑은 고딕"/>
              </w:rPr>
              <w:t>충족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6"/>
                <w:rFonts w:eastAsia="맑은 고딕"/>
              </w:rPr>
              <w:t>BO-NFR-06</w:t>
            </w:r>
          </w:p>
        </w:tc>
        <w:tc>
          <w:tcPr>
            <w:tcW w:type="dxa" w:w="1611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5개 구현 단계를 각각 독립 형상단위로 분리하여 순차 배포. 단계별로 검증 후 다음 단계 착수.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PR #945 · #955 · #962 · #966 (4개 형상단위, 5단계)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형상 이력 및 배포 이력 확인</w:t>
            </w:r>
          </w:p>
        </w:tc>
        <w:tc>
          <w:tcPr>
            <w:tcW w:type="dxa" w:w="1974"/>
            <w:shd w:val="clear" w:color="auto" w:fill="F1F8F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6"/>
                <w:rFonts w:eastAsia="맑은 고딕"/>
              </w:rPr>
              <w:t>충족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6"/>
                <w:rFonts w:eastAsia="맑은 고딕"/>
              </w:rPr>
              <w:t>BO-KR-01</w:t>
            </w:r>
          </w:p>
        </w:tc>
        <w:tc>
          <w:tcPr>
            <w:tcW w:type="dxa" w:w="1611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5개 계층 백오피스 재설계 결과 전체를 정성지표 증빙자료로 구성(계층 구조·권한 체계·통합 관리화면).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본 산출물 + docs/BACKOFFICE_HIERARCHY_REDESIGN.md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중간평가 제출 자료로 편성</w:t>
            </w:r>
          </w:p>
        </w:tc>
        <w:tc>
          <w:tcPr>
            <w:tcW w:type="dxa" w:w="1974"/>
            <w:shd w:val="clear" w:color="auto" w:fill="F1F8F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6"/>
                <w:rFonts w:eastAsia="맑은 고딕"/>
              </w:rPr>
              <w:t>충족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6"/>
                <w:rFonts w:eastAsia="맑은 고딕"/>
              </w:rPr>
              <w:t>BO-KR-02</w:t>
            </w:r>
          </w:p>
        </w:tc>
        <w:tc>
          <w:tcPr>
            <w:tcW w:type="dxa" w:w="1611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통합 대시보드에서 성과지표 집계 화면으로 연결되는 경로를 확보. 유치·상담·사후관리·만족도가 수기 집계 없이 자동 산출되도록 구성.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/admin → /admin/khidi/kpi-dashboard → 북극성·전환·만족도·증빙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화면 연결 경로 확인 (지표 수치의 목표 대비 달성도는 별도 KPI 산출물 소관)</w:t>
            </w:r>
          </w:p>
        </w:tc>
        <w:tc>
          <w:tcPr>
            <w:tcW w:type="dxa" w:w="1974"/>
            <w:shd w:val="clear" w:color="auto" w:fill="F1F8F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6"/>
                <w:rFonts w:eastAsia="맑은 고딕"/>
              </w:rPr>
              <w:t>충족</w:t>
            </w:r>
          </w:p>
        </w:tc>
      </w:tr>
    </w:tbl>
    <w:p>
      <w:pPr>
        <w:pStyle w:val="Heading1"/>
        <w:pageBreakBefore/>
      </w:pPr>
      <w:r>
        <w:rPr>
          <w:rFonts w:ascii="맑은 고딕" w:hAnsi="맑은 고딕"/>
          <w:b/>
          <w:color w:val="00467F"/>
          <w:sz w:val="30"/>
          <w:rFonts w:eastAsia="맑은 고딕"/>
        </w:rPr>
        <w:t>4. 요구사항 추적 매트릭스 (RTM)</w:t>
      </w:r>
    </w:p>
    <w:p>
      <w:pPr>
        <w:spacing w:after="120"/>
      </w:pPr>
      <w:r>
        <w:rPr>
          <w:rFonts w:ascii="맑은 고딕" w:hAnsi="맑은 고딕"/>
          <w:b w:val="0"/>
          <w:sz w:val="20"/>
          <w:rFonts w:eastAsia="맑은 고딕"/>
        </w:rPr>
        <w:t>요구사항이 어느 구현 단계에서 반영되었는지를 격자로 표시한다. ●=주 반영 단계, ○=관련 단계.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5"/>
        <w:gridCol w:w="1645"/>
        <w:gridCol w:w="1645"/>
        <w:gridCol w:w="1645"/>
        <w:gridCol w:w="1645"/>
        <w:gridCol w:w="1645"/>
      </w:tblGrid>
      <w:tr>
        <w:trPr>
          <w:tblHeader w:val="true"/>
          <w:cantSplit/>
        </w:trPr>
        <w:tc>
          <w:tcPr>
            <w:tcW w:type="dxa" w:w="1928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요구사항 ID</w:t>
            </w:r>
          </w:p>
        </w:tc>
        <w:tc>
          <w:tcPr>
            <w:tcW w:type="dxa" w:w="1361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1단계</w:t>
              <w:br/>
              <w:t>청사진</w:t>
            </w:r>
          </w:p>
        </w:tc>
        <w:tc>
          <w:tcPr>
            <w:tcW w:type="dxa" w:w="1361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2단계</w:t>
              <w:br/>
              <w:t>메뉴재편</w:t>
            </w:r>
          </w:p>
        </w:tc>
        <w:tc>
          <w:tcPr>
            <w:tcW w:type="dxa" w:w="1361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3단계</w:t>
              <w:br/>
              <w:t>대시보드</w:t>
            </w:r>
          </w:p>
        </w:tc>
        <w:tc>
          <w:tcPr>
            <w:tcW w:type="dxa" w:w="1361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4단계</w:t>
              <w:br/>
              <w:t>권한정비</w:t>
            </w:r>
          </w:p>
        </w:tc>
        <w:tc>
          <w:tcPr>
            <w:tcW w:type="dxa" w:w="1361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5단계</w:t>
              <w:br/>
              <w:t>통합콘솔</w:t>
            </w:r>
          </w:p>
        </w:tc>
      </w:tr>
      <w:tr>
        <w:trPr>
          <w:cantSplit/>
        </w:trPr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BO-FR-01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  <w:shd w:val="clear" w:color="auto" w:fill="D8EDE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●</w:t>
            </w:r>
          </w:p>
        </w:tc>
      </w:tr>
      <w:tr>
        <w:trPr>
          <w:cantSplit/>
        </w:trPr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BO-FR-02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  <w:shd w:val="clear" w:color="auto" w:fill="D8EDE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●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</w:tr>
      <w:tr>
        <w:trPr>
          <w:cantSplit/>
        </w:trPr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BO-FR-03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  <w:shd w:val="clear" w:color="auto" w:fill="D8EDE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●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</w:tr>
      <w:tr>
        <w:trPr>
          <w:cantSplit/>
        </w:trPr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BO-FR-04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  <w:shd w:val="clear" w:color="auto" w:fill="D8EDE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●</w:t>
            </w:r>
          </w:p>
        </w:tc>
      </w:tr>
      <w:tr>
        <w:trPr>
          <w:cantSplit/>
        </w:trPr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BO-FR-05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  <w:shd w:val="clear" w:color="auto" w:fill="D8EDE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●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</w:tr>
      <w:tr>
        <w:trPr>
          <w:cantSplit/>
        </w:trPr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BO-FR-06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○</w:t>
            </w:r>
          </w:p>
        </w:tc>
        <w:tc>
          <w:tcPr>
            <w:tcW w:type="dxa" w:w="1645"/>
            <w:shd w:val="clear" w:color="auto" w:fill="D8EDE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●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</w:tr>
      <w:tr>
        <w:trPr>
          <w:cantSplit/>
        </w:trPr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BO-FR-07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  <w:shd w:val="clear" w:color="auto" w:fill="D8EDE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●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</w:tr>
      <w:tr>
        <w:trPr>
          <w:cantSplit/>
        </w:trPr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BO-FR-08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○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  <w:shd w:val="clear" w:color="auto" w:fill="D8EDE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●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</w:tr>
      <w:tr>
        <w:trPr>
          <w:cantSplit/>
        </w:trPr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BO-SR-01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○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  <w:shd w:val="clear" w:color="auto" w:fill="D8EDE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●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</w:tr>
      <w:tr>
        <w:trPr>
          <w:cantSplit/>
        </w:trPr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BO-SR-02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○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  <w:shd w:val="clear" w:color="auto" w:fill="D8EDE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●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</w:tr>
      <w:tr>
        <w:trPr>
          <w:cantSplit/>
        </w:trPr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BO-SR-03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○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○</w:t>
            </w:r>
          </w:p>
        </w:tc>
        <w:tc>
          <w:tcPr>
            <w:tcW w:type="dxa" w:w="1645"/>
            <w:shd w:val="clear" w:color="auto" w:fill="D8EDE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●</w:t>
            </w:r>
          </w:p>
        </w:tc>
      </w:tr>
      <w:tr>
        <w:trPr>
          <w:cantSplit/>
        </w:trPr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BO-SR-04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○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  <w:shd w:val="clear" w:color="auto" w:fill="D8EDE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●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</w:tr>
      <w:tr>
        <w:trPr>
          <w:cantSplit/>
        </w:trPr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BO-SR-05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  <w:shd w:val="clear" w:color="auto" w:fill="D8EDE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●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</w:tr>
      <w:tr>
        <w:trPr>
          <w:cantSplit/>
        </w:trPr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BO-SR-06</w:t>
            </w:r>
          </w:p>
        </w:tc>
        <w:tc>
          <w:tcPr>
            <w:tcW w:type="dxa" w:w="1645"/>
            <w:shd w:val="clear" w:color="auto" w:fill="D8EDE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●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○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</w:tr>
      <w:tr>
        <w:trPr>
          <w:cantSplit/>
        </w:trPr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BO-NFR-01</w:t>
            </w:r>
          </w:p>
        </w:tc>
        <w:tc>
          <w:tcPr>
            <w:tcW w:type="dxa" w:w="1645"/>
            <w:shd w:val="clear" w:color="auto" w:fill="D8EDE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●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</w:tr>
      <w:tr>
        <w:trPr>
          <w:cantSplit/>
        </w:trPr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BO-NFR-02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  <w:shd w:val="clear" w:color="auto" w:fill="D8EDE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●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</w:tr>
      <w:tr>
        <w:trPr>
          <w:cantSplit/>
        </w:trPr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BO-NFR-03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  <w:shd w:val="clear" w:color="auto" w:fill="D8EDE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●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</w:tr>
      <w:tr>
        <w:trPr>
          <w:cantSplit/>
        </w:trPr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BO-NFR-04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○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  <w:shd w:val="clear" w:color="auto" w:fill="D8EDE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●</w:t>
            </w:r>
          </w:p>
        </w:tc>
      </w:tr>
      <w:tr>
        <w:trPr>
          <w:cantSplit/>
        </w:trPr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BO-NFR-05</w:t>
            </w:r>
          </w:p>
        </w:tc>
        <w:tc>
          <w:tcPr>
            <w:tcW w:type="dxa" w:w="1645"/>
            <w:shd w:val="clear" w:color="auto" w:fill="D8EDE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●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○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</w:tr>
      <w:tr>
        <w:trPr>
          <w:cantSplit/>
        </w:trPr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BO-NFR-06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  <w:shd w:val="clear" w:color="auto" w:fill="D8EDE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●</w:t>
            </w:r>
          </w:p>
        </w:tc>
        <w:tc>
          <w:tcPr>
            <w:tcW w:type="dxa" w:w="1645"/>
            <w:shd w:val="clear" w:color="auto" w:fill="D8EDE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●</w:t>
            </w:r>
          </w:p>
        </w:tc>
        <w:tc>
          <w:tcPr>
            <w:tcW w:type="dxa" w:w="1645"/>
            <w:shd w:val="clear" w:color="auto" w:fill="D8EDE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●</w:t>
            </w:r>
          </w:p>
        </w:tc>
        <w:tc>
          <w:tcPr>
            <w:tcW w:type="dxa" w:w="1645"/>
            <w:shd w:val="clear" w:color="auto" w:fill="D8EDE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●</w:t>
            </w:r>
          </w:p>
        </w:tc>
      </w:tr>
      <w:tr>
        <w:trPr>
          <w:cantSplit/>
        </w:trPr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BO-KR-01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○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  <w:shd w:val="clear" w:color="auto" w:fill="D8EDE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●</w:t>
            </w:r>
          </w:p>
        </w:tc>
      </w:tr>
      <w:tr>
        <w:trPr>
          <w:cantSplit/>
        </w:trPr>
        <w:tc>
          <w:tcPr>
            <w:tcW w:type="dxa" w:w="1645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BO-KR-02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  <w:shd w:val="clear" w:color="auto" w:fill="D8EDE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●</w:t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  <w:tc>
          <w:tcPr>
            <w:tcW w:type="dxa" w:w="164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/>
          <w:b w:val="0"/>
          <w:color w:val="6E6E6E"/>
          <w:sz w:val="18"/>
          <w:rFonts w:eastAsia="맑은 고딕"/>
        </w:rPr>
        <w:t>형상 대응: 1단계=청사진(문서) / 2단계=PR #945 / 3단계=PR #955 / 4단계=PR #962 / 5단계=PR #966</w:t>
      </w:r>
    </w:p>
    <w:p>
      <w:pPr>
        <w:spacing w:after="200"/>
      </w:pPr>
    </w:p>
    <w:p>
      <w:pPr>
        <w:pStyle w:val="Heading1"/>
        <w:keepNext/>
      </w:pPr>
      <w:r>
        <w:rPr>
          <w:rFonts w:ascii="맑은 고딕" w:hAnsi="맑은 고딕"/>
          <w:b/>
          <w:color w:val="00467F"/>
          <w:sz w:val="30"/>
          <w:rFonts w:eastAsia="맑은 고딕"/>
        </w:rPr>
        <w:t>5. 부분충족·대안반영 항목 관리</w:t>
      </w:r>
    </w:p>
    <w:p>
      <w:pPr>
        <w:keepNext/>
        <w:spacing w:after="120"/>
      </w:pPr>
      <w:r>
        <w:rPr>
          <w:rFonts w:ascii="맑은 고딕" w:hAnsi="맑은 고딕"/>
          <w:b w:val="0"/>
          <w:sz w:val="20"/>
          <w:rFonts w:eastAsia="맑은 고딕"/>
        </w:rPr>
        <w:t>완전충족이 아닌 3건에 대하여 잔여 사항과 처리 계획을 명시한다.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4"/>
        <w:gridCol w:w="1974"/>
        <w:gridCol w:w="1974"/>
        <w:gridCol w:w="1974"/>
        <w:gridCol w:w="1974"/>
      </w:tblGrid>
      <w:tr>
        <w:trPr>
          <w:cantSplit/>
        </w:trPr>
        <w:tc>
          <w:tcPr>
            <w:tcW w:type="dxa" w:w="1440"/>
            <w:shd w:val="clear" w:color="auto" w:fill="00467F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ID</w:t>
            </w:r>
          </w:p>
        </w:tc>
        <w:tc>
          <w:tcPr>
            <w:tcW w:type="dxa" w:w="964"/>
            <w:shd w:val="clear" w:color="auto" w:fill="00467F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판정</w:t>
            </w:r>
          </w:p>
        </w:tc>
        <w:tc>
          <w:tcPr>
            <w:tcW w:type="dxa" w:w="3039"/>
            <w:shd w:val="clear" w:color="auto" w:fill="00467F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잔여 사항 / 미채택 사유</w:t>
            </w:r>
          </w:p>
        </w:tc>
        <w:tc>
          <w:tcPr>
            <w:tcW w:type="dxa" w:w="2268"/>
            <w:shd w:val="clear" w:color="auto" w:fill="00467F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처리 계획</w:t>
            </w:r>
          </w:p>
        </w:tc>
        <w:tc>
          <w:tcPr>
            <w:tcW w:type="dxa" w:w="1077"/>
            <w:shd w:val="clear" w:color="auto" w:fill="00467F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관리번호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sz w:val="16"/>
                <w:rFonts w:eastAsia="맑은 고딕"/>
              </w:rPr>
              <w:t>BO-FR-06</w:t>
            </w:r>
          </w:p>
        </w:tc>
        <w:tc>
          <w:tcPr>
            <w:tcW w:type="dxa" w:w="1974"/>
            <w:shd w:val="clear" w:color="auto" w:fill="FDF6EC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부분충족</w:t>
            </w:r>
          </w:p>
        </w:tc>
        <w:tc>
          <w:tcPr>
            <w:tcW w:type="dxa" w:w="161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데이터 0행이나 존폐 영향도가 확정되지 않은 2개 화면(치료·암종 관리 / 의료진 관리)이 메뉴에 남아 있음. 의료진 관리는 화상상담 담당의사 선택 목록이 해당 테이블을 참조하여 임의 비활성 시 상담 생성에 영향 가능.</w:t>
            </w:r>
          </w:p>
        </w:tc>
        <w:tc>
          <w:tcPr>
            <w:tcW w:type="dxa" w:w="1974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영향도 확인 후 발주자 판단으로 비활성 여부 결정</w:t>
            </w:r>
          </w:p>
        </w:tc>
        <w:tc>
          <w:tcPr>
            <w:tcW w:type="dxa" w:w="1974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후속-ⓒ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sz w:val="16"/>
                <w:rFonts w:eastAsia="맑은 고딕"/>
              </w:rPr>
              <w:t>BO-SR-02</w:t>
            </w:r>
          </w:p>
        </w:tc>
        <w:tc>
          <w:tcPr>
            <w:tcW w:type="dxa" w:w="1974"/>
            <w:shd w:val="clear" w:color="auto" w:fill="FDF6EC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충족</w:t>
            </w:r>
          </w:p>
        </w:tc>
        <w:tc>
          <w:tcPr>
            <w:tcW w:type="dxa" w:w="161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콘텐츠 쓰기 경로 전 구간에 표준 인증 가드와 요청량 제한을 적용 완료. 인증되지 않은 요청은 차단되며 오류 메시지 원문은 노출하지 않는다. 인증 실패 «이력»의 감사로그 적재는 이상징후 탐지 고도화 항목으로 후속 관리한다.</w:t>
            </w:r>
          </w:p>
        </w:tc>
        <w:tc>
          <w:tcPr>
            <w:tcW w:type="dxa" w:w="1974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인증 실패 이력 적재를 공통 헬퍼 차원으로 확대(고도화)</w:t>
            </w:r>
          </w:p>
        </w:tc>
        <w:tc>
          <w:tcPr>
            <w:tcW w:type="dxa" w:w="1974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후속-ⓓ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6"/>
                <w:rFonts w:eastAsia="맑은 고딕"/>
              </w:rPr>
              <w:t>BO-SR-03</w:t>
            </w:r>
          </w:p>
        </w:tc>
        <w:tc>
          <w:tcPr>
            <w:tcW w:type="dxa" w:w="1974"/>
            <w:shd w:val="clear" w:color="auto" w:fill="FDF6EC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대안반영</w:t>
            </w:r>
          </w:p>
        </w:tc>
        <w:tc>
          <w:tcPr>
            <w:tcW w:type="dxa" w:w="1611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권한 축소(담당자 검증 강제)는 과거 적용 시 담당자 미지정 상담에서 코디네이터가 정상 업무를 수행하지 못하는 장애가 발생하여 해제한 이력이 있음. 동일 조치 재적용 시 장애 재발이 예상되어 미채택.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감사로그 기반 사후 추적 운영. 재적용 여부는 운영 데이터 축적 후 재검토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6"/>
                <w:rFonts w:eastAsia="맑은 고딕"/>
              </w:rPr>
              <w:t>후속-ⓐ</w:t>
            </w:r>
          </w:p>
        </w:tc>
      </w:tr>
    </w:tbl>
    <w:p>
      <w:pPr>
        <w:keepNext/>
        <w:spacing w:after="200"/>
      </w:pPr>
    </w:p>
    <w:p>
      <w:pPr>
        <w:pStyle w:val="Heading1"/>
        <w:keepNext/>
      </w:pPr>
      <w:r>
        <w:rPr>
          <w:rFonts w:ascii="맑은 고딕" w:hAnsi="맑은 고딕"/>
          <w:b/>
          <w:color w:val="00467F"/>
          <w:sz w:val="30"/>
          <w:rFonts w:eastAsia="맑은 고딕"/>
        </w:rPr>
        <w:t>6. 반영 결과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0"/>
        <w:gridCol w:w="1410"/>
        <w:gridCol w:w="1410"/>
        <w:gridCol w:w="1410"/>
        <w:gridCol w:w="1410"/>
        <w:gridCol w:w="1410"/>
        <w:gridCol w:w="1410"/>
      </w:tblGrid>
      <w:tr>
        <w:trPr>
          <w:cantSplit/>
        </w:trPr>
        <w:tc>
          <w:tcPr>
            <w:tcW w:type="dxa" w:w="1701"/>
            <w:shd w:val="clear" w:color="auto" w:fill="00467F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구분</w:t>
            </w:r>
          </w:p>
        </w:tc>
        <w:tc>
          <w:tcPr>
            <w:tcW w:type="dxa" w:w="1134"/>
            <w:shd w:val="clear" w:color="auto" w:fill="00467F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요구 건수</w:t>
            </w:r>
          </w:p>
        </w:tc>
        <w:tc>
          <w:tcPr>
            <w:tcW w:type="dxa" w:w="1020"/>
            <w:shd w:val="clear" w:color="auto" w:fill="00467F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충족</w:t>
            </w:r>
          </w:p>
        </w:tc>
        <w:tc>
          <w:tcPr>
            <w:tcW w:type="dxa" w:w="1134"/>
            <w:shd w:val="clear" w:color="auto" w:fill="00467F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부분충족</w:t>
            </w:r>
          </w:p>
        </w:tc>
        <w:tc>
          <w:tcPr>
            <w:tcW w:type="dxa" w:w="1134"/>
            <w:shd w:val="clear" w:color="auto" w:fill="00467F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대안반영</w:t>
            </w:r>
          </w:p>
        </w:tc>
        <w:tc>
          <w:tcPr>
            <w:tcW w:type="dxa" w:w="1020"/>
            <w:shd w:val="clear" w:color="auto" w:fill="00467F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미반영</w:t>
            </w:r>
          </w:p>
        </w:tc>
        <w:tc>
          <w:tcPr>
            <w:tcW w:type="dxa" w:w="1361"/>
            <w:shd w:val="clear" w:color="auto" w:fill="00467F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완전충족률</w:t>
            </w:r>
          </w:p>
        </w:tc>
      </w:tr>
      <w:tr>
        <w:trPr>
          <w:cantSplit/>
        </w:trPr>
        <w:tc>
          <w:tcPr>
            <w:tcW w:type="dxa" w:w="1410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 (BO-FR)</w:t>
            </w:r>
          </w:p>
        </w:tc>
        <w:tc>
          <w:tcPr>
            <w:tcW w:type="dxa" w:w="1410"/>
          </w:tcPr>
          <w:p>
            <w:pPr>
              <w:keepNext/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8</w:t>
            </w:r>
          </w:p>
        </w:tc>
        <w:tc>
          <w:tcPr>
            <w:tcW w:type="dxa" w:w="1410"/>
          </w:tcPr>
          <w:p>
            <w:pPr>
              <w:keepNext/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7</w:t>
            </w:r>
          </w:p>
        </w:tc>
        <w:tc>
          <w:tcPr>
            <w:tcW w:type="dxa" w:w="1410"/>
          </w:tcPr>
          <w:p>
            <w:pPr>
              <w:keepNext/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</w:t>
            </w:r>
          </w:p>
        </w:tc>
        <w:tc>
          <w:tcPr>
            <w:tcW w:type="dxa" w:w="1410"/>
          </w:tcPr>
          <w:p>
            <w:pPr>
              <w:keepNext/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0</w:t>
            </w:r>
          </w:p>
        </w:tc>
        <w:tc>
          <w:tcPr>
            <w:tcW w:type="dxa" w:w="1410"/>
          </w:tcPr>
          <w:p>
            <w:pPr>
              <w:keepNext/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0</w:t>
            </w:r>
          </w:p>
        </w:tc>
        <w:tc>
          <w:tcPr>
            <w:tcW w:type="dxa" w:w="1410"/>
          </w:tcPr>
          <w:p>
            <w:pPr>
              <w:keepNext/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87.5%</w:t>
            </w:r>
          </w:p>
        </w:tc>
      </w:tr>
      <w:tr>
        <w:trPr>
          <w:cantSplit/>
        </w:trPr>
        <w:tc>
          <w:tcPr>
            <w:tcW w:type="dxa" w:w="1410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보안·권한 (BO-SR)</w:t>
            </w:r>
          </w:p>
        </w:tc>
        <w:tc>
          <w:tcPr>
            <w:tcW w:type="dxa" w:w="1410"/>
          </w:tcPr>
          <w:p>
            <w:pPr>
              <w:keepNext/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6</w:t>
            </w:r>
          </w:p>
        </w:tc>
        <w:tc>
          <w:tcPr>
            <w:tcW w:type="dxa" w:w="1410"/>
          </w:tcPr>
          <w:p>
            <w:pPr>
              <w:keepNext/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</w:t>
            </w:r>
          </w:p>
        </w:tc>
        <w:tc>
          <w:tcPr>
            <w:tcW w:type="dxa" w:w="1410"/>
          </w:tcPr>
          <w:p>
            <w:pPr>
              <w:keepNext/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0</w:t>
            </w:r>
          </w:p>
        </w:tc>
        <w:tc>
          <w:tcPr>
            <w:tcW w:type="dxa" w:w="1410"/>
          </w:tcPr>
          <w:p>
            <w:pPr>
              <w:keepNext/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</w:t>
            </w:r>
          </w:p>
        </w:tc>
        <w:tc>
          <w:tcPr>
            <w:tcW w:type="dxa" w:w="1410"/>
          </w:tcPr>
          <w:p>
            <w:pPr>
              <w:keepNext/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0</w:t>
            </w:r>
          </w:p>
        </w:tc>
        <w:tc>
          <w:tcPr>
            <w:tcW w:type="dxa" w:w="1410"/>
          </w:tcPr>
          <w:p>
            <w:pPr>
              <w:keepNext/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83.3%</w:t>
            </w:r>
          </w:p>
        </w:tc>
      </w:tr>
      <w:tr>
        <w:trPr>
          <w:cantSplit/>
        </w:trPr>
        <w:tc>
          <w:tcPr>
            <w:tcW w:type="dxa" w:w="1410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비기능 (BO-NFR)</w:t>
            </w:r>
          </w:p>
        </w:tc>
        <w:tc>
          <w:tcPr>
            <w:tcW w:type="dxa" w:w="1410"/>
          </w:tcPr>
          <w:p>
            <w:pPr>
              <w:keepNext/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6</w:t>
            </w:r>
          </w:p>
        </w:tc>
        <w:tc>
          <w:tcPr>
            <w:tcW w:type="dxa" w:w="1410"/>
          </w:tcPr>
          <w:p>
            <w:pPr>
              <w:keepNext/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6</w:t>
            </w:r>
          </w:p>
        </w:tc>
        <w:tc>
          <w:tcPr>
            <w:tcW w:type="dxa" w:w="1410"/>
          </w:tcPr>
          <w:p>
            <w:pPr>
              <w:keepNext/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0</w:t>
            </w:r>
          </w:p>
        </w:tc>
        <w:tc>
          <w:tcPr>
            <w:tcW w:type="dxa" w:w="1410"/>
          </w:tcPr>
          <w:p>
            <w:pPr>
              <w:keepNext/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0</w:t>
            </w:r>
          </w:p>
        </w:tc>
        <w:tc>
          <w:tcPr>
            <w:tcW w:type="dxa" w:w="1410"/>
          </w:tcPr>
          <w:p>
            <w:pPr>
              <w:keepNext/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0</w:t>
            </w:r>
          </w:p>
        </w:tc>
        <w:tc>
          <w:tcPr>
            <w:tcW w:type="dxa" w:w="1410"/>
          </w:tcPr>
          <w:p>
            <w:pPr>
              <w:keepNext/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100%</w:t>
            </w:r>
          </w:p>
        </w:tc>
      </w:tr>
      <w:tr>
        <w:trPr>
          <w:cantSplit/>
        </w:trPr>
        <w:tc>
          <w:tcPr>
            <w:tcW w:type="dxa" w:w="1410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과제요건 (BO-KR)</w:t>
            </w:r>
          </w:p>
        </w:tc>
        <w:tc>
          <w:tcPr>
            <w:tcW w:type="dxa" w:w="1410"/>
          </w:tcPr>
          <w:p>
            <w:pPr>
              <w:keepNext/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</w:t>
            </w:r>
          </w:p>
        </w:tc>
        <w:tc>
          <w:tcPr>
            <w:tcW w:type="dxa" w:w="1410"/>
          </w:tcPr>
          <w:p>
            <w:pPr>
              <w:keepNext/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</w:t>
            </w:r>
          </w:p>
        </w:tc>
        <w:tc>
          <w:tcPr>
            <w:tcW w:type="dxa" w:w="1410"/>
          </w:tcPr>
          <w:p>
            <w:pPr>
              <w:keepNext/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0</w:t>
            </w:r>
          </w:p>
        </w:tc>
        <w:tc>
          <w:tcPr>
            <w:tcW w:type="dxa" w:w="1410"/>
          </w:tcPr>
          <w:p>
            <w:pPr>
              <w:keepNext/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0</w:t>
            </w:r>
          </w:p>
        </w:tc>
        <w:tc>
          <w:tcPr>
            <w:tcW w:type="dxa" w:w="1410"/>
          </w:tcPr>
          <w:p>
            <w:pPr>
              <w:keepNext/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0</w:t>
            </w:r>
          </w:p>
        </w:tc>
        <w:tc>
          <w:tcPr>
            <w:tcW w:type="dxa" w:w="1410"/>
          </w:tcPr>
          <w:p>
            <w:pPr>
              <w:keepNext/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100%</w:t>
            </w:r>
          </w:p>
        </w:tc>
      </w:tr>
      <w:tr>
        <w:trPr>
          <w:cantSplit/>
        </w:trPr>
        <w:tc>
          <w:tcPr>
            <w:tcW w:type="dxa" w:w="1410"/>
            <w:shd w:val="clear" w:color="auto" w:fill="DDE9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8"/>
                <w:rFonts w:eastAsia="맑은 고딕"/>
              </w:rPr>
              <w:t>합계</w:t>
            </w:r>
          </w:p>
        </w:tc>
        <w:tc>
          <w:tcPr>
            <w:tcW w:type="dxa" w:w="1410"/>
            <w:shd w:val="clear" w:color="auto" w:fill="DDE9F2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8"/>
                <w:rFonts w:eastAsia="맑은 고딕"/>
              </w:rPr>
              <w:t>22</w:t>
            </w:r>
          </w:p>
        </w:tc>
        <w:tc>
          <w:tcPr>
            <w:tcW w:type="dxa" w:w="1410"/>
            <w:shd w:val="clear" w:color="auto" w:fill="DDE9F2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8"/>
                <w:rFonts w:eastAsia="맑은 고딕"/>
              </w:rPr>
              <w:t>20</w:t>
            </w:r>
          </w:p>
        </w:tc>
        <w:tc>
          <w:tcPr>
            <w:tcW w:type="dxa" w:w="1410"/>
            <w:shd w:val="clear" w:color="auto" w:fill="DDE9F2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8"/>
                <w:rFonts w:eastAsia="맑은 고딕"/>
              </w:rPr>
              <w:t>1</w:t>
            </w:r>
          </w:p>
        </w:tc>
        <w:tc>
          <w:tcPr>
            <w:tcW w:type="dxa" w:w="1410"/>
            <w:shd w:val="clear" w:color="auto" w:fill="DDE9F2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8"/>
                <w:rFonts w:eastAsia="맑은 고딕"/>
              </w:rPr>
              <w:t>1</w:t>
            </w:r>
          </w:p>
        </w:tc>
        <w:tc>
          <w:tcPr>
            <w:tcW w:type="dxa" w:w="1410"/>
            <w:shd w:val="clear" w:color="auto" w:fill="DDE9F2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8"/>
                <w:rFonts w:eastAsia="맑은 고딕"/>
              </w:rPr>
              <w:t>0</w:t>
            </w:r>
          </w:p>
        </w:tc>
        <w:tc>
          <w:tcPr>
            <w:tcW w:type="dxa" w:w="1410"/>
            <w:shd w:val="clear" w:color="auto" w:fill="DDE9F2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8"/>
                <w:rFonts w:eastAsia="맑은 고딕"/>
              </w:rPr>
              <w:t>90.9%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rFonts w:ascii="맑은 고딕" w:hAnsi="맑은 고딕"/>
          <w:b w:val="0"/>
          <w:sz w:val="19"/>
          <w:rFonts w:eastAsia="맑은 고딕"/>
        </w:rPr>
        <w:t>미반영 0건: 정의된 22개 요구사항 전건이 반영되었으며, 이 중 3건은 잔여 사항 또는 대안 수단을 명시하여 관리 중이다(제5장).</w:t>
      </w:r>
    </w:p>
    <w:p>
      <w:pPr>
        <w:keepNext/>
        <w:spacing w:after="200"/>
      </w:pPr>
    </w:p>
    <w:p>
      <w:pPr>
        <w:pStyle w:val="Heading1"/>
        <w:keepNext/>
      </w:pPr>
      <w:r>
        <w:rPr>
          <w:rFonts w:ascii="맑은 고딕" w:hAnsi="맑은 고딕"/>
          <w:b/>
          <w:color w:val="00467F"/>
          <w:sz w:val="30"/>
          <w:rFonts w:eastAsia="맑은 고딕"/>
        </w:rPr>
        <w:t>7. 근거 자료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0"/>
        <w:gridCol w:w="3290"/>
        <w:gridCol w:w="3290"/>
      </w:tblGrid>
      <w:tr>
        <w:trPr>
          <w:cantSplit/>
        </w:trPr>
        <w:tc>
          <w:tcPr>
            <w:tcW w:type="dxa" w:w="1701"/>
            <w:shd w:val="clear" w:color="auto" w:fill="00467F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구분</w:t>
            </w:r>
          </w:p>
        </w:tc>
        <w:tc>
          <w:tcPr>
            <w:tcW w:type="dxa" w:w="3402"/>
            <w:shd w:val="clear" w:color="auto" w:fill="00467F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자료</w:t>
            </w:r>
          </w:p>
        </w:tc>
        <w:tc>
          <w:tcPr>
            <w:tcW w:type="dxa" w:w="3402"/>
            <w:shd w:val="clear" w:color="auto" w:fill="00467F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역할</w:t>
            </w:r>
          </w:p>
        </w:tc>
      </w:tr>
      <w:tr>
        <w:trPr>
          <w:cantSplit/>
        </w:trPr>
        <w:tc>
          <w:tcPr>
            <w:tcW w:type="dxa" w:w="3290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상위 요구</w:t>
            </w:r>
          </w:p>
        </w:tc>
        <w:tc>
          <w:tcPr>
            <w:tcW w:type="dxa" w:w="3290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01_요구사항정의서.docx</w:t>
            </w:r>
          </w:p>
        </w:tc>
        <w:tc>
          <w:tcPr>
            <w:tcW w:type="dxa" w:w="3290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FR-01~28 / NFR-01~23 (본 산출물의 추적 상위)</w:t>
            </w:r>
          </w:p>
        </w:tc>
      </w:tr>
      <w:tr>
        <w:trPr>
          <w:cantSplit/>
        </w:trPr>
        <w:tc>
          <w:tcPr>
            <w:tcW w:type="dxa" w:w="3290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과업 계획</w:t>
            </w:r>
          </w:p>
        </w:tc>
        <w:tc>
          <w:tcPr>
            <w:tcW w:type="dxa" w:w="3290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docs/ADMIN_RENEWAL_PLAN.md</w:t>
            </w:r>
          </w:p>
        </w:tc>
        <w:tc>
          <w:tcPr>
            <w:tcW w:type="dxa" w:w="3290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재설계 로드맵 원본(단계 정의·실측 청사진)</w:t>
            </w:r>
          </w:p>
        </w:tc>
      </w:tr>
      <w:tr>
        <w:trPr>
          <w:cantSplit/>
        </w:trPr>
        <w:tc>
          <w:tcPr>
            <w:tcW w:type="dxa" w:w="3290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결과 설명</w:t>
            </w:r>
          </w:p>
        </w:tc>
        <w:tc>
          <w:tcPr>
            <w:tcW w:type="dxa" w:w="3290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docs/BACKOFFICE_HIERARCHY_REDESIGN.md</w:t>
            </w:r>
          </w:p>
        </w:tc>
        <w:tc>
          <w:tcPr>
            <w:tcW w:type="dxa" w:w="3290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재설계 결과 설명 자료</w:t>
            </w:r>
          </w:p>
        </w:tc>
      </w:tr>
      <w:tr>
        <w:trPr>
          <w:cantSplit/>
        </w:trPr>
        <w:tc>
          <w:tcPr>
            <w:tcW w:type="dxa" w:w="3290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계층 정의</w:t>
            </w:r>
          </w:p>
        </w:tc>
        <w:tc>
          <w:tcPr>
            <w:tcW w:type="dxa" w:w="3290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docs/ACCOUNT_TIERS.md · src/lib/auth/accountTiers.ts</w:t>
            </w:r>
          </w:p>
        </w:tc>
        <w:tc>
          <w:tcPr>
            <w:tcW w:type="dxa" w:w="3290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계정 계층 7종 정의(문서/코드)</w:t>
            </w:r>
          </w:p>
        </w:tc>
      </w:tr>
      <w:tr>
        <w:trPr>
          <w:cantSplit/>
        </w:trPr>
        <w:tc>
          <w:tcPr>
            <w:tcW w:type="dxa" w:w="3290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사용설명서</w:t>
            </w:r>
          </w:p>
        </w:tc>
        <w:tc>
          <w:tcPr>
            <w:tcW w:type="dxa" w:w="3290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src/lib/manuals/index.js</w:t>
            </w:r>
          </w:p>
        </w:tc>
        <w:tc>
          <w:tcPr>
            <w:tcW w:type="dxa" w:w="3290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계층별 백오피스 사용설명서</w:t>
            </w:r>
          </w:p>
        </w:tc>
      </w:tr>
      <w:tr>
        <w:trPr>
          <w:cantSplit/>
        </w:trPr>
        <w:tc>
          <w:tcPr>
            <w:tcW w:type="dxa" w:w="3290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성과지표</w:t>
            </w:r>
          </w:p>
        </w:tc>
        <w:tc>
          <w:tcPr>
            <w:tcW w:type="dxa" w:w="3290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docs/KHIDI_중간보고_베이스.md · KPI_측정방법_명세.md</w:t>
            </w:r>
          </w:p>
        </w:tc>
        <w:tc>
          <w:tcPr>
            <w:tcW w:type="dxa" w:w="3290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공식 성과지표 및 측정 방법</w:t>
            </w:r>
          </w:p>
        </w:tc>
      </w:tr>
    </w:tbl>
    <w:p>
      <w:pPr>
        <w:spacing w:after="280"/>
      </w:pPr>
    </w:p>
    <w:p>
      <w:pPr>
        <w:jc w:val="right"/>
      </w:pPr>
      <w:r>
        <w:rPr>
          <w:rFonts w:ascii="맑은 고딕" w:hAnsi="맑은 고딕"/>
          <w:b w:val="0"/>
          <w:color w:val="787878"/>
          <w:sz w:val="18"/>
          <w:rFonts w:eastAsia="맑은 고딕"/>
        </w:rPr>
        <w:t>작성: 본로이 | 2026-07-25 | 근거: 소스코드 실측 + 운영DB 정확 COUNT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9" w:h="16834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b w:val="0"/>
        <w:color w:val="787878"/>
        <w:sz w:val="16"/>
        <w:rFonts w:eastAsia="맑은 고딕"/>
      </w:rPr>
      <w:t xml:space="preserve">본로이  |  기밀문서, 무단 배포 금지     </w:t>
    </w:r>
    <w:r>
      <w:rPr>
        <w:rFonts w:ascii="맑은 고딕" w:hAnsi="맑은 고딕"/>
        <w:b w:val="0"/>
        <w:color w:val="787878"/>
        <w:sz w:val="16"/>
        <w:rFonts w:eastAsia="맑은 고딕"/>
      </w:rPr>
      <w:fldChar w:fldCharType="begin"/>
    </w:r>
    <w:r>
      <w:rPr>
        <w:rFonts w:ascii="맑은 고딕" w:hAnsi="맑은 고딕"/>
        <w:b w:val="0"/>
        <w:color w:val="787878"/>
        <w:sz w:val="16"/>
        <w:rFonts w:eastAsia="맑은 고딕"/>
      </w:rPr>
      <w:instrText xml:space="preserve"> PAGE </w:instrText>
    </w:r>
    <w:r>
      <w:rPr>
        <w:rFonts w:ascii="맑은 고딕" w:hAnsi="맑은 고딕"/>
        <w:b w:val="0"/>
        <w:color w:val="787878"/>
        <w:sz w:val="16"/>
        <w:rFonts w:eastAsia="맑은 고딕"/>
      </w:rPr>
      <w:fldChar w:fldCharType="end"/>
    </w:r>
    <w:r>
      <w:rPr>
        <w:rFonts w:ascii="맑은 고딕" w:hAnsi="맑은 고딕"/>
        <w:b w:val="0"/>
        <w:color w:val="787878"/>
        <w:sz w:val="16"/>
        <w:rFonts w:eastAsia="맑은 고딕"/>
      </w:rPr>
      <w:t xml:space="preserve"> / </w:t>
    </w:r>
    <w:r>
      <w:rPr>
        <w:rFonts w:ascii="맑은 고딕" w:hAnsi="맑은 고딕"/>
        <w:b w:val="0"/>
        <w:color w:val="787878"/>
        <w:sz w:val="16"/>
        <w:rFonts w:eastAsia="맑은 고딕"/>
      </w:rPr>
      <w:fldChar w:fldCharType="begin"/>
    </w:r>
    <w:r>
      <w:rPr>
        <w:rFonts w:ascii="맑은 고딕" w:hAnsi="맑은 고딕"/>
        <w:b w:val="0"/>
        <w:color w:val="787878"/>
        <w:sz w:val="16"/>
        <w:rFonts w:eastAsia="맑은 고딕"/>
      </w:rPr>
      <w:instrText xml:space="preserve"> NUMPAGES </w:instrText>
    </w:r>
    <w:r>
      <w:rPr>
        <w:rFonts w:ascii="맑은 고딕" w:hAnsi="맑은 고딕"/>
        <w:b w:val="0"/>
        <w:color w:val="787878"/>
        <w:sz w:val="16"/>
        <w:rFonts w:eastAsia="맑은 고딕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