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2</w:t>
      </w:r>
    </w:p>
    <w:p>
      <w:pPr>
        <w:pStyle w:val="Normal"/>
      </w:pPr>
      <w:r>
        <w:t xml:space="preserve">Measures of dispersion (range, SD, variance, IQR, MAD) for each of the three study variables.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
Measures of Dispersion for the Examined Variables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94"/>
        <w:gridCol w:w="1145"/>
        <w:gridCol w:w="961"/>
        <w:gridCol w:w="1279"/>
        <w:gridCol w:w="1084"/>
        <w:gridCol w:w="1084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Variance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MAD</w:t>
            </w:r>
          </w:p>
        </w:tc>
      </w:tr>
      <w:tr>
        <w:trPr>
          <w:trHeight w:val="615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Operationsdauer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31–300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76.61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5,869.23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129.25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95.63</w:t>
            </w:r>
          </w:p>
        </w:tc>
      </w:tr>
      <w:tr>
        <w:trPr>
          <w:trHeight w:val="60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Blutverlust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30–300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6,481.18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135.25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102.30</w:t>
            </w:r>
          </w:p>
        </w:tc>
      </w:tr>
      <w:tr>
        <w:trPr>
          <w:trHeight w:val="612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Komplikationsrisiko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33–300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78.72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6,196.08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102.30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2025-05-21T15:30:46Z</dcterms:modified>
  <cp:category/>
</cp:coreProperties>
</file>