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Measures of Central Tendency</w:t>
      </w:r>
    </w:p>
    <w:p>
      <w:pPr>
        <w:pStyle w:val="Normal"/>
      </w:pPr>
      <w:r>
        <w:t xml:space="preserve">The table below presents the mean, median, and mode for each variable in the dataset.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
Measures of Central Tendency (Mean, Median, Mode) for the Examined Variables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94"/>
        <w:gridCol w:w="1084"/>
        <w:gridCol w:w="1132"/>
        <w:gridCol w:w="961"/>
      </w:tblGrid>
      <w:tr>
        <w:trPr>
          <w:trHeight w:val="57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</w:t>
            </w:r>
          </w:p>
        </w:tc>
      </w:tr>
      <w:tr>
        <w:trPr>
          <w:trHeight w:val="615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Operationsdauer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166.34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165.5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Blutverlust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165.23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</w:tr>
      <w:tr>
        <w:trPr>
          <w:trHeight w:val="612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Komplikationsrisiko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167.03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2025-05-21T19:08:43Z</dcterms:modified>
  <cp:category/>
</cp:coreProperties>
</file>